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C929E">
      <w:pPr>
        <w:jc w:val="center"/>
        <w:rPr>
          <w:rFonts w:hint="eastAsia" w:ascii="宋体" w:hAnsi="宋体"/>
          <w:sz w:val="44"/>
          <w:szCs w:val="48"/>
        </w:rPr>
      </w:pPr>
    </w:p>
    <w:p w14:paraId="11415171">
      <w:pPr>
        <w:jc w:val="center"/>
        <w:rPr>
          <w:rFonts w:hint="eastAsia" w:ascii="宋体" w:hAnsi="宋体"/>
          <w:sz w:val="44"/>
          <w:szCs w:val="48"/>
        </w:rPr>
      </w:pPr>
    </w:p>
    <w:p w14:paraId="2AA56051">
      <w:pPr>
        <w:widowControl/>
        <w:spacing w:line="360" w:lineRule="auto"/>
        <w:jc w:val="center"/>
        <w:rPr>
          <w:rFonts w:hint="eastAsia" w:ascii="宋体" w:hAnsi="宋体" w:cs="宋体"/>
          <w:b/>
          <w:kern w:val="0"/>
          <w:sz w:val="52"/>
          <w:szCs w:val="52"/>
        </w:rPr>
      </w:pPr>
      <w:r>
        <w:rPr>
          <w:rFonts w:hint="eastAsia" w:ascii="宋体" w:hAnsi="宋体" w:cs="宋体"/>
          <w:b/>
          <w:kern w:val="0"/>
          <w:sz w:val="52"/>
          <w:szCs w:val="52"/>
        </w:rPr>
        <w:t>中国重汽集团济南</w:t>
      </w:r>
      <w:r>
        <w:rPr>
          <w:rFonts w:hint="eastAsia" w:ascii="宋体" w:hAnsi="宋体" w:cs="宋体"/>
          <w:b/>
          <w:kern w:val="0"/>
          <w:sz w:val="52"/>
          <w:szCs w:val="52"/>
          <w:lang w:val="en-US" w:eastAsia="zh-CN"/>
        </w:rPr>
        <w:t>卡车制造</w:t>
      </w:r>
      <w:r>
        <w:rPr>
          <w:rFonts w:hint="eastAsia" w:ascii="宋体" w:hAnsi="宋体" w:cs="宋体"/>
          <w:b/>
          <w:kern w:val="0"/>
          <w:sz w:val="52"/>
          <w:szCs w:val="52"/>
        </w:rPr>
        <w:t>公司</w:t>
      </w:r>
    </w:p>
    <w:p w14:paraId="7B2BE80E">
      <w:pPr>
        <w:widowControl/>
        <w:spacing w:line="360" w:lineRule="auto"/>
        <w:jc w:val="center"/>
        <w:rPr>
          <w:rFonts w:hint="default" w:ascii="宋体" w:hAnsi="宋体" w:cs="宋体"/>
          <w:b/>
          <w:kern w:val="0"/>
          <w:sz w:val="52"/>
          <w:szCs w:val="52"/>
          <w:lang w:val="en-US" w:eastAsia="zh-CN"/>
        </w:rPr>
      </w:pPr>
      <w:r>
        <w:rPr>
          <w:rFonts w:hint="eastAsia" w:ascii="宋体" w:hAnsi="宋体" w:cs="宋体"/>
          <w:b/>
          <w:kern w:val="0"/>
          <w:sz w:val="52"/>
          <w:szCs w:val="52"/>
          <w:lang w:val="en-US" w:eastAsia="zh-CN"/>
        </w:rPr>
        <w:t>事故风机与报警装置联锁改造项目</w:t>
      </w:r>
    </w:p>
    <w:p w14:paraId="448BCB4B">
      <w:pPr>
        <w:snapToGrid w:val="0"/>
        <w:jc w:val="center"/>
        <w:rPr>
          <w:rFonts w:hint="eastAsia" w:ascii="宋体" w:hAnsi="宋体"/>
          <w:sz w:val="48"/>
          <w:szCs w:val="48"/>
          <w:lang w:val="en-US" w:eastAsia="zh-CN"/>
        </w:rPr>
      </w:pPr>
    </w:p>
    <w:p w14:paraId="03E4E158">
      <w:pPr>
        <w:snapToGrid w:val="0"/>
        <w:jc w:val="center"/>
        <w:rPr>
          <w:rFonts w:hint="eastAsia" w:ascii="宋体" w:hAnsi="宋体"/>
          <w:sz w:val="48"/>
          <w:szCs w:val="48"/>
          <w:lang w:val="en-US" w:eastAsia="zh-CN"/>
        </w:rPr>
      </w:pPr>
    </w:p>
    <w:p w14:paraId="59ABE10C">
      <w:pPr>
        <w:snapToGrid w:val="0"/>
        <w:jc w:val="center"/>
        <w:rPr>
          <w:rFonts w:hint="eastAsia" w:ascii="宋体" w:hAnsi="宋体"/>
          <w:sz w:val="48"/>
          <w:szCs w:val="48"/>
          <w:lang w:val="en-US" w:eastAsia="zh-CN"/>
        </w:rPr>
      </w:pPr>
    </w:p>
    <w:p w14:paraId="3B8DE314">
      <w:pPr>
        <w:snapToGrid w:val="0"/>
        <w:jc w:val="center"/>
        <w:rPr>
          <w:rFonts w:hint="default" w:ascii="宋体" w:hAnsi="宋体"/>
          <w:sz w:val="48"/>
          <w:szCs w:val="48"/>
          <w:lang w:val="en-US" w:eastAsia="zh-CN"/>
        </w:rPr>
      </w:pPr>
    </w:p>
    <w:p w14:paraId="03BA63DE">
      <w:pPr>
        <w:spacing w:line="360" w:lineRule="auto"/>
        <w:jc w:val="center"/>
        <w:rPr>
          <w:rFonts w:hint="eastAsia" w:ascii="宋体" w:hAnsi="宋体" w:eastAsia="宋体" w:cs="宋体"/>
          <w:sz w:val="72"/>
          <w:szCs w:val="72"/>
          <w:lang w:val="en-US" w:eastAsia="zh-CN"/>
        </w:rPr>
      </w:pPr>
      <w:r>
        <w:rPr>
          <w:rFonts w:hint="eastAsia" w:ascii="宋体" w:hAnsi="宋体" w:cs="宋体"/>
          <w:sz w:val="72"/>
          <w:szCs w:val="72"/>
        </w:rPr>
        <w:t>招标</w:t>
      </w:r>
      <w:r>
        <w:rPr>
          <w:rFonts w:hint="eastAsia" w:ascii="宋体" w:hAnsi="宋体" w:cs="宋体"/>
          <w:sz w:val="72"/>
          <w:szCs w:val="72"/>
          <w:lang w:val="en-US" w:eastAsia="zh-CN"/>
        </w:rPr>
        <w:t>文件</w:t>
      </w:r>
    </w:p>
    <w:p w14:paraId="37F4C2C8">
      <w:pPr>
        <w:jc w:val="center"/>
        <w:rPr>
          <w:rFonts w:hint="eastAsia" w:ascii="宋体" w:hAnsi="宋体"/>
          <w:sz w:val="28"/>
          <w:szCs w:val="28"/>
        </w:rPr>
      </w:pPr>
    </w:p>
    <w:p w14:paraId="3C4EA72E">
      <w:pPr>
        <w:ind w:firstLine="960" w:firstLineChars="300"/>
        <w:jc w:val="left"/>
        <w:rPr>
          <w:rFonts w:hint="eastAsia" w:ascii="仿宋_GB2312" w:hAnsi="仿宋_GB2312" w:eastAsia="仿宋_GB2312" w:cs="仿宋_GB2312"/>
          <w:sz w:val="32"/>
          <w:szCs w:val="28"/>
        </w:rPr>
      </w:pPr>
    </w:p>
    <w:p w14:paraId="429BA5ED">
      <w:pPr>
        <w:jc w:val="left"/>
        <w:rPr>
          <w:rFonts w:hint="eastAsia" w:ascii="华文仿宋" w:hAnsi="华文仿宋" w:eastAsia="华文仿宋"/>
          <w:sz w:val="32"/>
          <w:szCs w:val="28"/>
        </w:rPr>
      </w:pPr>
      <w:r>
        <w:rPr>
          <w:rFonts w:hint="eastAsia" w:ascii="华文仿宋" w:hAnsi="华文仿宋" w:eastAsia="华文仿宋"/>
          <w:sz w:val="32"/>
          <w:szCs w:val="28"/>
        </w:rPr>
        <w:t xml:space="preserve">     </w:t>
      </w:r>
    </w:p>
    <w:p w14:paraId="1FDFA9D0">
      <w:pPr>
        <w:jc w:val="left"/>
        <w:rPr>
          <w:rFonts w:hint="eastAsia" w:ascii="华文仿宋" w:hAnsi="华文仿宋" w:eastAsia="华文仿宋"/>
          <w:sz w:val="32"/>
          <w:szCs w:val="28"/>
        </w:rPr>
      </w:pPr>
    </w:p>
    <w:p w14:paraId="1955D56F">
      <w:pPr>
        <w:jc w:val="left"/>
        <w:rPr>
          <w:rFonts w:hint="eastAsia" w:ascii="华文仿宋" w:hAnsi="华文仿宋" w:eastAsia="华文仿宋"/>
          <w:sz w:val="32"/>
          <w:szCs w:val="28"/>
        </w:rPr>
      </w:pPr>
    </w:p>
    <w:p w14:paraId="79702464">
      <w:pPr>
        <w:jc w:val="left"/>
        <w:rPr>
          <w:rFonts w:hint="eastAsia" w:ascii="华文仿宋" w:hAnsi="华文仿宋" w:eastAsia="华文仿宋"/>
          <w:sz w:val="32"/>
          <w:szCs w:val="28"/>
        </w:rPr>
      </w:pPr>
    </w:p>
    <w:p w14:paraId="210D79A9">
      <w:pPr>
        <w:jc w:val="left"/>
        <w:rPr>
          <w:rFonts w:hint="eastAsia" w:ascii="华文仿宋" w:hAnsi="华文仿宋" w:eastAsia="华文仿宋"/>
          <w:sz w:val="32"/>
          <w:szCs w:val="28"/>
        </w:rPr>
      </w:pPr>
    </w:p>
    <w:p w14:paraId="6C3D02AF">
      <w:pPr>
        <w:jc w:val="left"/>
        <w:rPr>
          <w:rFonts w:ascii="宋体" w:hAnsi="宋体"/>
          <w:sz w:val="28"/>
          <w:szCs w:val="28"/>
        </w:rPr>
      </w:pPr>
      <w:r>
        <w:rPr>
          <w:rFonts w:hint="eastAsia" w:ascii="宋体" w:hAnsi="宋体"/>
          <w:sz w:val="28"/>
          <w:szCs w:val="28"/>
        </w:rPr>
        <w:t xml:space="preserve">       </w:t>
      </w:r>
    </w:p>
    <w:p w14:paraId="6722817B">
      <w:pPr>
        <w:jc w:val="center"/>
        <w:rPr>
          <w:rFonts w:hint="eastAsia" w:ascii="宋体" w:hAnsi="宋体"/>
          <w:sz w:val="28"/>
          <w:szCs w:val="28"/>
        </w:rPr>
      </w:pPr>
    </w:p>
    <w:p w14:paraId="144E2F9A">
      <w:pPr>
        <w:widowControl/>
        <w:spacing w:line="360" w:lineRule="auto"/>
        <w:jc w:val="center"/>
        <w:rPr>
          <w:rFonts w:hint="eastAsia" w:ascii="宋体" w:hAnsi="宋体" w:eastAsia="宋体" w:cs="宋体"/>
          <w:b/>
          <w:bCs/>
          <w:kern w:val="0"/>
          <w:sz w:val="32"/>
          <w:szCs w:val="32"/>
          <w:u w:val="single"/>
          <w:lang w:eastAsia="zh-CN"/>
        </w:rPr>
      </w:pPr>
      <w:r>
        <w:rPr>
          <w:rFonts w:hint="eastAsia" w:ascii="宋体" w:hAnsi="宋体" w:cs="宋体"/>
          <w:b/>
          <w:bCs/>
          <w:kern w:val="0"/>
          <w:sz w:val="32"/>
          <w:szCs w:val="32"/>
        </w:rPr>
        <w:t>招标编号：</w:t>
      </w:r>
    </w:p>
    <w:p w14:paraId="7AC11874">
      <w:pPr>
        <w:jc w:val="center"/>
        <w:rPr>
          <w:rFonts w:hint="eastAsia" w:ascii="宋体" w:hAnsi="宋体"/>
          <w:sz w:val="28"/>
          <w:szCs w:val="28"/>
        </w:rPr>
      </w:pPr>
    </w:p>
    <w:p w14:paraId="39A1D1A2">
      <w:pPr>
        <w:jc w:val="center"/>
        <w:rPr>
          <w:rFonts w:hint="eastAsia" w:ascii="宋体" w:hAnsi="宋体"/>
          <w:sz w:val="28"/>
          <w:szCs w:val="28"/>
        </w:rPr>
      </w:pPr>
    </w:p>
    <w:p w14:paraId="5C385B9A">
      <w:pPr>
        <w:jc w:val="center"/>
        <w:rPr>
          <w:rFonts w:hint="default" w:ascii="宋体" w:hAnsi="宋体" w:eastAsia="宋体"/>
          <w:sz w:val="28"/>
          <w:szCs w:val="28"/>
          <w:lang w:val="en-US" w:eastAsia="zh-CN"/>
        </w:rPr>
      </w:pPr>
      <w:r>
        <w:rPr>
          <w:rFonts w:hint="eastAsia" w:ascii="宋体" w:hAnsi="宋体"/>
          <w:sz w:val="28"/>
          <w:szCs w:val="28"/>
        </w:rPr>
        <w:t xml:space="preserve">招 标 </w:t>
      </w:r>
      <w:r>
        <w:rPr>
          <w:rFonts w:hint="eastAsia" w:ascii="宋体" w:hAnsi="宋体"/>
          <w:sz w:val="28"/>
          <w:szCs w:val="28"/>
          <w:lang w:val="en-US" w:eastAsia="zh-CN"/>
        </w:rPr>
        <w:t>人</w:t>
      </w:r>
      <w:r>
        <w:rPr>
          <w:rFonts w:hint="eastAsia" w:ascii="宋体" w:hAnsi="宋体"/>
          <w:sz w:val="28"/>
          <w:szCs w:val="28"/>
        </w:rPr>
        <w:t>：中国重汽集团济南卡车股份有限公司</w:t>
      </w:r>
    </w:p>
    <w:p w14:paraId="5D8C41F0">
      <w:pPr>
        <w:jc w:val="center"/>
        <w:rPr>
          <w:rFonts w:hint="eastAsia" w:ascii="宋体" w:hAnsi="宋体"/>
          <w:sz w:val="28"/>
          <w:szCs w:val="28"/>
        </w:rPr>
      </w:pPr>
    </w:p>
    <w:p w14:paraId="5D4E77C1">
      <w:pPr>
        <w:spacing w:line="480" w:lineRule="auto"/>
        <w:jc w:val="center"/>
        <w:rPr>
          <w:rFonts w:hint="eastAsia" w:ascii="宋体" w:hAnsi="宋体"/>
          <w:b/>
          <w:bCs/>
          <w:sz w:val="52"/>
          <w:szCs w:val="52"/>
        </w:rPr>
      </w:pPr>
      <w:r>
        <w:rPr>
          <w:rFonts w:hint="eastAsia" w:ascii="宋体" w:hAnsi="宋体"/>
          <w:sz w:val="28"/>
          <w:szCs w:val="28"/>
          <w:u w:val="none"/>
          <w:lang w:val="en-US" w:eastAsia="zh-CN"/>
        </w:rPr>
        <w:t>2026</w:t>
      </w:r>
      <w:r>
        <w:rPr>
          <w:rFonts w:hint="eastAsia" w:ascii="宋体" w:hAnsi="宋体"/>
          <w:sz w:val="28"/>
          <w:szCs w:val="28"/>
          <w:u w:val="none"/>
        </w:rPr>
        <w:t>年</w:t>
      </w:r>
      <w:r>
        <w:rPr>
          <w:rFonts w:hint="eastAsia" w:ascii="宋体" w:hAnsi="宋体"/>
          <w:sz w:val="28"/>
          <w:szCs w:val="28"/>
          <w:u w:val="none"/>
          <w:lang w:val="en-US" w:eastAsia="zh-CN"/>
        </w:rPr>
        <w:t>9</w:t>
      </w:r>
      <w:r>
        <w:rPr>
          <w:rFonts w:hint="eastAsia" w:ascii="宋体" w:hAnsi="宋体"/>
          <w:sz w:val="28"/>
          <w:szCs w:val="28"/>
          <w:u w:val="none"/>
        </w:rPr>
        <w:t>月</w:t>
      </w:r>
      <w:r>
        <w:rPr>
          <w:rFonts w:ascii="黑体" w:eastAsia="黑体"/>
          <w:b/>
          <w:bCs/>
          <w:sz w:val="36"/>
          <w:szCs w:val="36"/>
          <w:u w:val="none"/>
        </w:rPr>
        <w:br w:type="page"/>
      </w:r>
      <w:r>
        <w:rPr>
          <w:rFonts w:ascii="宋体" w:hAnsi="宋体"/>
          <w:b/>
          <w:bCs/>
          <w:sz w:val="52"/>
          <w:szCs w:val="52"/>
        </w:rPr>
        <w:t>目   录</w:t>
      </w:r>
    </w:p>
    <w:p w14:paraId="4D6CFAAC"/>
    <w:p w14:paraId="4EDA2617">
      <w:pPr>
        <w:pStyle w:val="7"/>
        <w:spacing w:line="360" w:lineRule="auto"/>
        <w:jc w:val="center"/>
        <w:rPr>
          <w:rFonts w:hAnsi="宋体"/>
          <w:b/>
          <w:bCs/>
          <w:sz w:val="24"/>
        </w:rPr>
      </w:pPr>
      <w:r>
        <w:rPr>
          <w:rFonts w:hAnsi="宋体"/>
          <w:b/>
          <w:bCs/>
          <w:sz w:val="24"/>
        </w:rPr>
        <w:tab/>
      </w:r>
    </w:p>
    <w:p w14:paraId="7EBA49CF">
      <w:pPr>
        <w:pStyle w:val="10"/>
        <w:tabs>
          <w:tab w:val="right" w:leader="dot" w:pos="9071"/>
          <w:tab w:val="clear" w:pos="8729"/>
        </w:tabs>
        <w:rPr>
          <w:b w:val="0"/>
          <w:bCs/>
          <w:sz w:val="36"/>
          <w:szCs w:val="36"/>
        </w:rPr>
      </w:pPr>
      <w:r>
        <w:rPr>
          <w:b w:val="0"/>
          <w:bCs/>
          <w:sz w:val="36"/>
          <w:szCs w:val="36"/>
        </w:rPr>
        <w:fldChar w:fldCharType="begin"/>
      </w:r>
      <w:r>
        <w:rPr>
          <w:b w:val="0"/>
          <w:bCs/>
          <w:sz w:val="36"/>
          <w:szCs w:val="36"/>
        </w:rPr>
        <w:instrText xml:space="preserve">TOC \o "1-1" \h \u </w:instrText>
      </w:r>
      <w:r>
        <w:rPr>
          <w:b w:val="0"/>
          <w:bCs/>
          <w:sz w:val="36"/>
          <w:szCs w:val="36"/>
        </w:rPr>
        <w:fldChar w:fldCharType="separate"/>
      </w:r>
      <w:r>
        <w:rPr>
          <w:b w:val="0"/>
          <w:bCs/>
          <w:sz w:val="36"/>
          <w:szCs w:val="36"/>
        </w:rPr>
        <w:fldChar w:fldCharType="begin"/>
      </w:r>
      <w:r>
        <w:rPr>
          <w:b w:val="0"/>
          <w:bCs/>
          <w:sz w:val="36"/>
          <w:szCs w:val="36"/>
        </w:rPr>
        <w:instrText xml:space="preserve"> HYPERLINK \l _Toc10078 </w:instrText>
      </w:r>
      <w:r>
        <w:rPr>
          <w:b w:val="0"/>
          <w:bCs/>
          <w:sz w:val="36"/>
          <w:szCs w:val="36"/>
        </w:rPr>
        <w:fldChar w:fldCharType="separate"/>
      </w:r>
      <w:r>
        <w:rPr>
          <w:rFonts w:hint="eastAsia" w:ascii="黑体" w:eastAsia="黑体"/>
          <w:b w:val="0"/>
          <w:bCs/>
          <w:sz w:val="36"/>
          <w:szCs w:val="36"/>
        </w:rPr>
        <w:t>第一章  招标公告</w:t>
      </w:r>
      <w:r>
        <w:rPr>
          <w:b w:val="0"/>
          <w:bCs/>
          <w:sz w:val="36"/>
          <w:szCs w:val="36"/>
        </w:rPr>
        <w:tab/>
      </w:r>
      <w:r>
        <w:rPr>
          <w:b w:val="0"/>
          <w:bCs/>
          <w:sz w:val="36"/>
          <w:szCs w:val="36"/>
        </w:rPr>
        <w:fldChar w:fldCharType="begin"/>
      </w:r>
      <w:r>
        <w:rPr>
          <w:b w:val="0"/>
          <w:bCs/>
          <w:sz w:val="36"/>
          <w:szCs w:val="36"/>
        </w:rPr>
        <w:instrText xml:space="preserve"> PAGEREF _Toc10078 \h </w:instrText>
      </w:r>
      <w:r>
        <w:rPr>
          <w:b w:val="0"/>
          <w:bCs/>
          <w:sz w:val="36"/>
          <w:szCs w:val="36"/>
        </w:rPr>
        <w:fldChar w:fldCharType="separate"/>
      </w:r>
      <w:r>
        <w:rPr>
          <w:b w:val="0"/>
          <w:bCs/>
          <w:sz w:val="36"/>
          <w:szCs w:val="36"/>
        </w:rPr>
        <w:t>3</w:t>
      </w:r>
      <w:r>
        <w:rPr>
          <w:b w:val="0"/>
          <w:bCs/>
          <w:sz w:val="36"/>
          <w:szCs w:val="36"/>
        </w:rPr>
        <w:fldChar w:fldCharType="end"/>
      </w:r>
      <w:r>
        <w:rPr>
          <w:b w:val="0"/>
          <w:bCs/>
          <w:sz w:val="36"/>
          <w:szCs w:val="36"/>
        </w:rPr>
        <w:fldChar w:fldCharType="end"/>
      </w:r>
    </w:p>
    <w:p w14:paraId="721E4952">
      <w:pPr>
        <w:pStyle w:val="10"/>
        <w:tabs>
          <w:tab w:val="right" w:leader="dot" w:pos="9071"/>
          <w:tab w:val="clear" w:pos="8729"/>
        </w:tabs>
        <w:rPr>
          <w:rFonts w:hint="eastAsia" w:eastAsia="宋体"/>
          <w:b w:val="0"/>
          <w:bCs/>
          <w:sz w:val="36"/>
          <w:szCs w:val="36"/>
          <w:lang w:val="en-US" w:eastAsia="zh-CN"/>
        </w:rPr>
      </w:pPr>
      <w:r>
        <w:rPr>
          <w:b w:val="0"/>
          <w:bCs/>
          <w:sz w:val="36"/>
          <w:szCs w:val="36"/>
        </w:rPr>
        <w:fldChar w:fldCharType="begin"/>
      </w:r>
      <w:r>
        <w:rPr>
          <w:b w:val="0"/>
          <w:bCs/>
          <w:sz w:val="36"/>
          <w:szCs w:val="36"/>
        </w:rPr>
        <w:instrText xml:space="preserve"> HYPERLINK \l _Toc10725 </w:instrText>
      </w:r>
      <w:r>
        <w:rPr>
          <w:b w:val="0"/>
          <w:bCs/>
          <w:sz w:val="36"/>
          <w:szCs w:val="36"/>
        </w:rPr>
        <w:fldChar w:fldCharType="separate"/>
      </w:r>
      <w:r>
        <w:rPr>
          <w:rFonts w:hint="eastAsia" w:ascii="黑体" w:hAnsi="Courier New" w:eastAsia="黑体"/>
          <w:b w:val="0"/>
          <w:bCs/>
          <w:sz w:val="36"/>
          <w:szCs w:val="36"/>
        </w:rPr>
        <w:t>第二章  投标文件编制</w:t>
      </w:r>
      <w:r>
        <w:rPr>
          <w:b w:val="0"/>
          <w:bCs/>
          <w:sz w:val="36"/>
          <w:szCs w:val="36"/>
        </w:rPr>
        <w:tab/>
      </w:r>
      <w:r>
        <w:rPr>
          <w:rFonts w:hint="eastAsia"/>
          <w:b w:val="0"/>
          <w:bCs/>
          <w:sz w:val="36"/>
          <w:szCs w:val="36"/>
          <w:lang w:val="en-US" w:eastAsia="zh-CN"/>
        </w:rPr>
        <w:t>1</w:t>
      </w:r>
      <w:r>
        <w:rPr>
          <w:b w:val="0"/>
          <w:bCs/>
          <w:sz w:val="36"/>
          <w:szCs w:val="36"/>
        </w:rPr>
        <w:fldChar w:fldCharType="end"/>
      </w:r>
      <w:r>
        <w:rPr>
          <w:rFonts w:hint="eastAsia"/>
          <w:b w:val="0"/>
          <w:bCs/>
          <w:sz w:val="36"/>
          <w:szCs w:val="36"/>
          <w:lang w:val="en-US" w:eastAsia="zh-CN"/>
        </w:rPr>
        <w:t>4</w:t>
      </w:r>
    </w:p>
    <w:p w14:paraId="3681A35E">
      <w:pPr>
        <w:pStyle w:val="10"/>
        <w:tabs>
          <w:tab w:val="right" w:leader="dot" w:pos="9071"/>
          <w:tab w:val="clear" w:pos="8729"/>
        </w:tabs>
        <w:rPr>
          <w:rFonts w:hint="eastAsia" w:eastAsia="宋体"/>
          <w:b w:val="0"/>
          <w:bCs/>
          <w:sz w:val="36"/>
          <w:szCs w:val="36"/>
          <w:lang w:val="en-US" w:eastAsia="zh-CN"/>
        </w:rPr>
      </w:pPr>
      <w:r>
        <w:rPr>
          <w:b w:val="0"/>
          <w:bCs/>
          <w:sz w:val="36"/>
          <w:szCs w:val="36"/>
        </w:rPr>
        <w:fldChar w:fldCharType="begin"/>
      </w:r>
      <w:r>
        <w:rPr>
          <w:b w:val="0"/>
          <w:bCs/>
          <w:sz w:val="36"/>
          <w:szCs w:val="36"/>
        </w:rPr>
        <w:instrText xml:space="preserve"> HYPERLINK \l _Toc13248 </w:instrText>
      </w:r>
      <w:r>
        <w:rPr>
          <w:b w:val="0"/>
          <w:bCs/>
          <w:sz w:val="36"/>
          <w:szCs w:val="36"/>
        </w:rPr>
        <w:fldChar w:fldCharType="separate"/>
      </w:r>
      <w:r>
        <w:rPr>
          <w:rFonts w:hint="eastAsia" w:ascii="黑体" w:eastAsia="黑体"/>
          <w:b w:val="0"/>
          <w:bCs/>
          <w:sz w:val="36"/>
          <w:szCs w:val="36"/>
        </w:rPr>
        <w:t xml:space="preserve">第三章 </w:t>
      </w:r>
      <w:r>
        <w:rPr>
          <w:rFonts w:hint="eastAsia" w:ascii="黑体" w:eastAsia="黑体"/>
          <w:b w:val="0"/>
          <w:bCs/>
          <w:sz w:val="36"/>
          <w:szCs w:val="36"/>
          <w:lang w:val="en-US" w:eastAsia="zh-CN"/>
        </w:rPr>
        <w:t xml:space="preserve"> </w:t>
      </w:r>
      <w:r>
        <w:rPr>
          <w:rFonts w:ascii="黑体" w:eastAsia="黑体"/>
          <w:b w:val="0"/>
          <w:bCs/>
          <w:sz w:val="36"/>
          <w:szCs w:val="36"/>
        </w:rPr>
        <w:t>技术</w:t>
      </w:r>
      <w:r>
        <w:rPr>
          <w:rFonts w:hint="eastAsia" w:ascii="黑体" w:eastAsia="黑体"/>
          <w:b w:val="0"/>
          <w:bCs/>
          <w:sz w:val="36"/>
          <w:szCs w:val="36"/>
        </w:rPr>
        <w:t>要求</w:t>
      </w:r>
      <w:r>
        <w:rPr>
          <w:b w:val="0"/>
          <w:bCs/>
          <w:sz w:val="36"/>
          <w:szCs w:val="36"/>
        </w:rPr>
        <w:tab/>
      </w:r>
      <w:r>
        <w:rPr>
          <w:rFonts w:hint="eastAsia"/>
          <w:b w:val="0"/>
          <w:bCs/>
          <w:sz w:val="36"/>
          <w:szCs w:val="36"/>
          <w:lang w:val="en-US" w:eastAsia="zh-CN"/>
        </w:rPr>
        <w:t>1</w:t>
      </w:r>
      <w:r>
        <w:rPr>
          <w:b w:val="0"/>
          <w:bCs/>
          <w:sz w:val="36"/>
          <w:szCs w:val="36"/>
        </w:rPr>
        <w:fldChar w:fldCharType="end"/>
      </w:r>
      <w:r>
        <w:rPr>
          <w:rFonts w:hint="eastAsia"/>
          <w:b w:val="0"/>
          <w:bCs/>
          <w:sz w:val="36"/>
          <w:szCs w:val="36"/>
          <w:lang w:val="en-US" w:eastAsia="zh-CN"/>
        </w:rPr>
        <w:t>6</w:t>
      </w:r>
    </w:p>
    <w:p w14:paraId="4B1FA08E">
      <w:r>
        <w:rPr>
          <w:b w:val="0"/>
          <w:bCs/>
          <w:sz w:val="36"/>
          <w:szCs w:val="36"/>
        </w:rPr>
        <w:fldChar w:fldCharType="end"/>
      </w:r>
    </w:p>
    <w:p w14:paraId="11BBB0ED">
      <w:pPr>
        <w:pStyle w:val="7"/>
        <w:spacing w:line="360" w:lineRule="auto"/>
        <w:jc w:val="center"/>
        <w:outlineLvl w:val="0"/>
        <w:rPr>
          <w:rFonts w:hint="eastAsia" w:ascii="黑体" w:eastAsia="黑体"/>
          <w:b/>
          <w:bCs/>
          <w:sz w:val="36"/>
          <w:szCs w:val="36"/>
        </w:rPr>
        <w:sectPr>
          <w:headerReference r:id="rId3" w:type="default"/>
          <w:footerReference r:id="rId4" w:type="default"/>
          <w:pgSz w:w="11907" w:h="16840"/>
          <w:pgMar w:top="1587" w:right="1418" w:bottom="1418" w:left="1418" w:header="724" w:footer="851" w:gutter="0"/>
          <w:pgNumType w:fmt="decimal" w:start="1"/>
          <w:cols w:space="720" w:num="1"/>
          <w:docGrid w:linePitch="290" w:charSpace="-3931"/>
        </w:sectPr>
      </w:pPr>
    </w:p>
    <w:p w14:paraId="7B821463">
      <w:pPr>
        <w:pStyle w:val="7"/>
        <w:spacing w:line="360" w:lineRule="auto"/>
        <w:jc w:val="center"/>
        <w:outlineLvl w:val="0"/>
        <w:rPr>
          <w:rFonts w:hint="eastAsia" w:ascii="黑体" w:eastAsia="黑体"/>
          <w:b/>
          <w:bCs/>
          <w:sz w:val="36"/>
          <w:szCs w:val="36"/>
        </w:rPr>
      </w:pPr>
      <w:bookmarkStart w:id="0" w:name="_Toc10078"/>
      <w:r>
        <w:rPr>
          <w:rFonts w:hint="eastAsia" w:ascii="黑体" w:eastAsia="黑体"/>
          <w:b/>
          <w:bCs/>
          <w:sz w:val="36"/>
          <w:szCs w:val="36"/>
        </w:rPr>
        <w:t>第一章  招标公告</w:t>
      </w:r>
      <w:bookmarkEnd w:id="0"/>
    </w:p>
    <w:p w14:paraId="14780A4D">
      <w:pPr>
        <w:pStyle w:val="7"/>
        <w:spacing w:line="360" w:lineRule="auto"/>
        <w:rPr>
          <w:rFonts w:hint="eastAsia" w:ascii="黑体" w:eastAsia="黑体"/>
          <w:b/>
          <w:bCs/>
          <w:sz w:val="28"/>
        </w:rPr>
      </w:pPr>
      <w:r>
        <w:rPr>
          <w:rFonts w:hint="eastAsia" w:ascii="黑体" w:eastAsia="黑体"/>
          <w:b/>
          <w:bCs/>
          <w:sz w:val="28"/>
        </w:rPr>
        <w:t>一、项目名称</w:t>
      </w:r>
    </w:p>
    <w:p w14:paraId="62674DED">
      <w:pPr>
        <w:pStyle w:val="7"/>
        <w:spacing w:line="360" w:lineRule="auto"/>
        <w:ind w:left="420"/>
        <w:rPr>
          <w:rFonts w:hint="eastAsia"/>
          <w:lang w:val="en-US" w:eastAsia="zh-CN"/>
        </w:rPr>
      </w:pPr>
      <w:r>
        <w:rPr>
          <w:rFonts w:hint="eastAsia"/>
        </w:rPr>
        <w:t>项目名称：</w:t>
      </w:r>
      <w:r>
        <w:rPr>
          <w:rFonts w:hint="eastAsia"/>
          <w:lang w:val="en-US" w:eastAsia="zh-CN"/>
        </w:rPr>
        <w:t>事故风机与报警装置联锁改造项目</w:t>
      </w:r>
    </w:p>
    <w:p w14:paraId="7CE24266">
      <w:pPr>
        <w:pStyle w:val="7"/>
        <w:spacing w:line="360" w:lineRule="auto"/>
        <w:ind w:left="420"/>
        <w:rPr>
          <w:rFonts w:hint="default"/>
          <w:lang w:val="en-US" w:eastAsia="zh-CN"/>
        </w:rPr>
      </w:pPr>
      <w:r>
        <w:rPr>
          <w:rFonts w:hint="eastAsia"/>
          <w:lang w:val="en-US" w:eastAsia="zh-CN"/>
        </w:rPr>
        <w:t>项目编号：ZBGL2026070200</w:t>
      </w:r>
    </w:p>
    <w:p w14:paraId="113BE078">
      <w:pPr>
        <w:pStyle w:val="7"/>
        <w:spacing w:line="360" w:lineRule="auto"/>
        <w:rPr>
          <w:rFonts w:hint="default" w:ascii="黑体" w:eastAsia="黑体"/>
          <w:b/>
          <w:bCs/>
          <w:sz w:val="28"/>
          <w:lang w:val="en-US" w:eastAsia="zh-CN"/>
        </w:rPr>
      </w:pPr>
      <w:r>
        <w:rPr>
          <w:rFonts w:hint="eastAsia" w:ascii="黑体" w:eastAsia="黑体"/>
          <w:b/>
          <w:bCs/>
          <w:sz w:val="28"/>
        </w:rPr>
        <w:t>二、招标内容</w:t>
      </w:r>
      <w:r>
        <w:rPr>
          <w:rFonts w:hint="eastAsia" w:ascii="黑体" w:eastAsia="黑体"/>
          <w:b/>
          <w:bCs/>
          <w:sz w:val="28"/>
          <w:lang w:val="en-US" w:eastAsia="zh-CN"/>
        </w:rPr>
        <w:t>及形式</w:t>
      </w:r>
    </w:p>
    <w:p w14:paraId="70260FC7">
      <w:pPr>
        <w:widowControl/>
        <w:spacing w:line="480" w:lineRule="exact"/>
        <w:ind w:firstLine="420" w:firstLineChars="200"/>
        <w:jc w:val="left"/>
        <w:rPr>
          <w:rFonts w:hint="eastAsia"/>
          <w:i w:val="0"/>
          <w:iCs w:val="0"/>
          <w:lang w:val="en-US" w:eastAsia="zh-CN"/>
        </w:rPr>
      </w:pPr>
      <w:r>
        <w:rPr>
          <w:rFonts w:hint="eastAsia"/>
          <w:i w:val="0"/>
          <w:iCs w:val="0"/>
          <w:lang w:val="en-US" w:eastAsia="zh-CN"/>
        </w:rPr>
        <w:t>1、卡车公司设备动能部12处事故风机与报警装置联锁存在安全隐患，结合《生产过程安全基本要求》（GB 12801-2025）第4.3.6条存在可燃气体或有毒气体的建筑物，其事故排风系统应与气体报警器联锁，《工业建筑供暖通风与空气调节设计规范》（GB 50019-2015）第6.4.6条工作场所设置有有毒气体或有爆炸危险气体监测及报警装置时，事故通风装置应与报警装置联锁的条款要求，本次整改实施内容如下：</w:t>
      </w:r>
    </w:p>
    <w:p w14:paraId="19FCF592">
      <w:pPr>
        <w:widowControl/>
        <w:spacing w:line="480" w:lineRule="exact"/>
        <w:ind w:firstLine="422" w:firstLineChars="200"/>
        <w:jc w:val="left"/>
        <w:rPr>
          <w:rFonts w:hint="eastAsia"/>
          <w:i w:val="0"/>
          <w:iCs w:val="0"/>
          <w:lang w:val="en-US" w:eastAsia="zh-CN"/>
        </w:rPr>
      </w:pPr>
      <w:r>
        <w:rPr>
          <w:rFonts w:hint="default" w:ascii="Calibri" w:hAnsi="Calibri" w:cs="Calibri"/>
          <w:b/>
          <w:bCs/>
          <w:i w:val="0"/>
          <w:iCs w:val="0"/>
          <w:lang w:val="en-US" w:eastAsia="zh-CN"/>
        </w:rPr>
        <w:t>①</w:t>
      </w:r>
      <w:r>
        <w:rPr>
          <w:rFonts w:hint="eastAsia"/>
          <w:b/>
          <w:bCs/>
          <w:i w:val="0"/>
          <w:iCs w:val="0"/>
          <w:lang w:val="en-US" w:eastAsia="zh-CN"/>
        </w:rPr>
        <w:t> 加装联锁控制装置：</w:t>
      </w:r>
      <w:r>
        <w:rPr>
          <w:rFonts w:hint="eastAsia"/>
          <w:i w:val="0"/>
          <w:iCs w:val="0"/>
          <w:lang w:val="en-US" w:eastAsia="zh-CN"/>
        </w:rPr>
        <w:t>对莱芜污水站、综合站房锅炉房、党家庄污水站等涉及的12处存在可燃/有毒气体的建筑物内事故风机，全部加装联动控制箱，实现事故风机与气体报警主机的自动联锁功能，同时保留手动控制模式，满足事故通风应急操作需求。</w:t>
      </w:r>
    </w:p>
    <w:p w14:paraId="519BF1CA">
      <w:pPr>
        <w:pStyle w:val="70"/>
        <w:rPr>
          <w:rFonts w:hint="eastAsia" w:ascii="Times New Roman" w:hAnsi="Times New Roman" w:eastAsia="宋体" w:cs="Times New Roman"/>
          <w:i w:val="0"/>
          <w:iCs w:val="0"/>
          <w:kern w:val="2"/>
          <w:sz w:val="21"/>
          <w:lang w:val="en-US" w:eastAsia="zh-CN" w:bidi="ar-SA"/>
        </w:rPr>
      </w:pPr>
      <w:r>
        <w:rPr>
          <w:rFonts w:hint="default" w:ascii="Calibri" w:hAnsi="Calibri" w:eastAsia="宋体" w:cs="Calibri"/>
          <w:b/>
          <w:bCs/>
          <w:i w:val="0"/>
          <w:iCs w:val="0"/>
          <w:kern w:val="2"/>
          <w:sz w:val="21"/>
          <w:lang w:val="en-US" w:eastAsia="zh-CN" w:bidi="ar-SA"/>
        </w:rPr>
        <w:t>②</w:t>
      </w:r>
      <w:r>
        <w:rPr>
          <w:rFonts w:hint="eastAsia" w:ascii="Times New Roman" w:hAnsi="Times New Roman" w:eastAsia="宋体" w:cs="Times New Roman"/>
          <w:b/>
          <w:bCs/>
          <w:i w:val="0"/>
          <w:iCs w:val="0"/>
          <w:kern w:val="2"/>
          <w:sz w:val="21"/>
          <w:lang w:val="en-US" w:eastAsia="zh-CN" w:bidi="ar-SA"/>
        </w:rPr>
        <w:t>更换损坏设备：</w:t>
      </w:r>
      <w:r>
        <w:rPr>
          <w:rFonts w:hint="eastAsia" w:ascii="Times New Roman" w:hAnsi="Times New Roman" w:eastAsia="宋体" w:cs="Times New Roman"/>
          <w:i w:val="0"/>
          <w:iCs w:val="0"/>
          <w:kern w:val="2"/>
          <w:sz w:val="21"/>
          <w:lang w:val="en-US" w:eastAsia="zh-CN" w:bidi="ar-SA"/>
        </w:rPr>
        <w:t>排查并更换现场已损坏的4个排风风机，保障事故通风系统设备完好，确保联锁联动后通风装置可正常运行，彻底消除气体泄漏后事故排风无法及时启动的安全隐患。</w:t>
      </w:r>
    </w:p>
    <w:p w14:paraId="1BBAA96B">
      <w:pPr>
        <w:pStyle w:val="70"/>
        <w:rPr>
          <w:rFonts w:hint="default" w:ascii="Times New Roman" w:hAnsi="Times New Roman" w:eastAsia="宋体" w:cs="Times New Roman"/>
          <w:b/>
          <w:bCs/>
          <w:i w:val="0"/>
          <w:iCs w:val="0"/>
          <w:kern w:val="2"/>
          <w:sz w:val="21"/>
          <w:lang w:val="en-US" w:eastAsia="zh-CN" w:bidi="ar-SA"/>
        </w:rPr>
      </w:pPr>
      <w:r>
        <w:rPr>
          <w:rFonts w:hint="eastAsia" w:ascii="Times New Roman" w:hAnsi="Times New Roman" w:eastAsia="宋体" w:cs="Times New Roman"/>
          <w:b/>
          <w:bCs/>
          <w:i w:val="0"/>
          <w:iCs w:val="0"/>
          <w:kern w:val="2"/>
          <w:sz w:val="21"/>
          <w:lang w:val="en-US" w:eastAsia="zh-CN" w:bidi="ar-SA"/>
        </w:rPr>
        <w:t>注：接标书后3日内，投标方</w:t>
      </w:r>
      <w:r>
        <w:rPr>
          <w:rFonts w:hint="eastAsia" w:ascii="Times New Roman" w:hAnsi="Times New Roman" w:cs="Times New Roman"/>
          <w:b/>
          <w:bCs/>
          <w:i w:val="0"/>
          <w:iCs w:val="0"/>
          <w:kern w:val="2"/>
          <w:sz w:val="21"/>
          <w:lang w:val="en-US" w:eastAsia="zh-CN" w:bidi="ar-SA"/>
        </w:rPr>
        <w:t>视其项目理解情况</w:t>
      </w:r>
      <w:r>
        <w:rPr>
          <w:rFonts w:hint="eastAsia" w:ascii="Times New Roman" w:hAnsi="Times New Roman" w:eastAsia="宋体" w:cs="Times New Roman"/>
          <w:b/>
          <w:bCs/>
          <w:i w:val="0"/>
          <w:iCs w:val="0"/>
          <w:kern w:val="2"/>
          <w:sz w:val="21"/>
          <w:lang w:val="en-US" w:eastAsia="zh-CN" w:bidi="ar-SA"/>
        </w:rPr>
        <w:t>对现场施工情况进行核实，逾期不进行核实视为</w:t>
      </w:r>
      <w:r>
        <w:rPr>
          <w:rFonts w:hint="eastAsia" w:ascii="Times New Roman" w:hAnsi="Times New Roman" w:cs="Times New Roman"/>
          <w:b/>
          <w:bCs/>
          <w:i w:val="0"/>
          <w:iCs w:val="0"/>
          <w:kern w:val="2"/>
          <w:sz w:val="21"/>
          <w:lang w:val="en-US" w:eastAsia="zh-CN" w:bidi="ar-SA"/>
        </w:rPr>
        <w:t>认可招标文件所有内容</w:t>
      </w:r>
      <w:r>
        <w:rPr>
          <w:rFonts w:hint="eastAsia" w:ascii="Times New Roman" w:hAnsi="Times New Roman" w:eastAsia="宋体" w:cs="Times New Roman"/>
          <w:b/>
          <w:bCs/>
          <w:i w:val="0"/>
          <w:iCs w:val="0"/>
          <w:kern w:val="2"/>
          <w:sz w:val="21"/>
          <w:lang w:val="en-US" w:eastAsia="zh-CN" w:bidi="ar-SA"/>
        </w:rPr>
        <w:t>。</w:t>
      </w:r>
    </w:p>
    <w:p w14:paraId="3A242CD1">
      <w:pPr>
        <w:pStyle w:val="7"/>
        <w:numPr>
          <w:ilvl w:val="0"/>
          <w:numId w:val="3"/>
        </w:numPr>
        <w:spacing w:line="360" w:lineRule="auto"/>
        <w:ind w:firstLine="420" w:firstLineChars="200"/>
        <w:rPr>
          <w:rFonts w:hint="eastAsia"/>
        </w:rPr>
      </w:pPr>
      <w:r>
        <w:rPr>
          <w:rFonts w:hint="eastAsia"/>
        </w:rPr>
        <w:t>招标形式：公开招标。</w:t>
      </w:r>
    </w:p>
    <w:p w14:paraId="52124B55">
      <w:pPr>
        <w:pStyle w:val="7"/>
        <w:spacing w:line="360" w:lineRule="auto"/>
        <w:rPr>
          <w:rFonts w:hint="eastAsia" w:ascii="黑体" w:eastAsia="黑体"/>
          <w:b/>
          <w:bCs/>
          <w:sz w:val="28"/>
          <w:lang w:val="en-US" w:eastAsia="zh-CN"/>
        </w:rPr>
      </w:pPr>
      <w:r>
        <w:rPr>
          <w:rFonts w:hint="eastAsia" w:ascii="黑体" w:eastAsia="黑体"/>
          <w:b/>
          <w:bCs/>
          <w:sz w:val="28"/>
        </w:rPr>
        <w:t>三、</w:t>
      </w:r>
      <w:r>
        <w:rPr>
          <w:rFonts w:hint="eastAsia" w:ascii="黑体" w:eastAsia="黑体"/>
          <w:b/>
          <w:bCs/>
          <w:sz w:val="28"/>
          <w:lang w:val="en-US" w:eastAsia="zh-CN"/>
        </w:rPr>
        <w:t>交货及付款</w:t>
      </w:r>
    </w:p>
    <w:p w14:paraId="7407425F">
      <w:pPr>
        <w:keepNext w:val="0"/>
        <w:keepLines w:val="0"/>
        <w:pageBreakBefore w:val="0"/>
        <w:widowControl/>
        <w:numPr>
          <w:ilvl w:val="0"/>
          <w:numId w:val="0"/>
        </w:numPr>
        <w:kinsoku/>
        <w:wordWrap/>
        <w:overflowPunct/>
        <w:topLinePunct w:val="0"/>
        <w:autoSpaceDE/>
        <w:autoSpaceDN/>
        <w:bidi w:val="0"/>
        <w:adjustRightInd/>
        <w:snapToGrid/>
        <w:ind w:firstLine="422" w:firstLineChars="200"/>
        <w:jc w:val="both"/>
        <w:textAlignment w:val="auto"/>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lang w:val="en-US" w:eastAsia="zh-CN"/>
        </w:rPr>
        <w:t>1、</w:t>
      </w:r>
      <w:r>
        <w:rPr>
          <w:rFonts w:hint="eastAsia" w:ascii="宋体" w:hAnsi="宋体" w:eastAsia="宋体" w:cs="宋体"/>
          <w:b/>
          <w:bCs/>
          <w:sz w:val="21"/>
          <w:szCs w:val="21"/>
          <w:highlight w:val="none"/>
          <w:lang w:val="en-US" w:eastAsia="zh-CN"/>
        </w:rPr>
        <w:t>交货期：</w:t>
      </w:r>
      <w:r>
        <w:rPr>
          <w:rFonts w:hint="eastAsia" w:ascii="宋体" w:hAnsi="宋体" w:cs="宋体"/>
          <w:b/>
          <w:bCs/>
          <w:sz w:val="21"/>
          <w:szCs w:val="21"/>
          <w:highlight w:val="none"/>
          <w:lang w:val="en-US" w:eastAsia="zh-CN"/>
        </w:rPr>
        <w:t>30天</w:t>
      </w:r>
      <w:r>
        <w:rPr>
          <w:rFonts w:hint="eastAsia" w:ascii="宋体" w:hAnsi="宋体" w:eastAsia="宋体" w:cs="宋体"/>
          <w:b/>
          <w:bCs/>
          <w:sz w:val="21"/>
          <w:szCs w:val="21"/>
          <w:highlight w:val="none"/>
          <w:lang w:val="en-US" w:eastAsia="zh-CN"/>
        </w:rPr>
        <w:t>。</w:t>
      </w:r>
    </w:p>
    <w:p w14:paraId="7B8C9C44">
      <w:pPr>
        <w:pStyle w:val="20"/>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textAlignment w:val="auto"/>
        <w:rPr>
          <w:rFonts w:hint="default" w:ascii="宋体" w:hAnsi="宋体" w:eastAsia="宋体" w:cs="宋体"/>
          <w:b w:val="0"/>
          <w:bCs w:val="0"/>
          <w:sz w:val="21"/>
          <w:szCs w:val="21"/>
          <w:highlight w:val="none"/>
          <w:lang w:val="en-US" w:eastAsia="zh-CN"/>
        </w:rPr>
      </w:pPr>
      <w:r>
        <w:rPr>
          <w:rFonts w:hint="eastAsia" w:ascii="宋体" w:hAnsi="宋体" w:eastAsia="宋体" w:cs="宋体"/>
          <w:b/>
          <w:bCs/>
          <w:kern w:val="2"/>
          <w:sz w:val="21"/>
          <w:szCs w:val="21"/>
          <w:highlight w:val="none"/>
          <w:lang w:val="en-US" w:eastAsia="zh-CN" w:bidi="ar-SA"/>
        </w:rPr>
        <w:t>2、交货</w:t>
      </w:r>
      <w:r>
        <w:rPr>
          <w:rFonts w:hint="eastAsia" w:ascii="宋体" w:hAnsi="宋体" w:eastAsia="宋体" w:cs="宋体"/>
          <w:b/>
          <w:bCs/>
          <w:sz w:val="21"/>
          <w:szCs w:val="21"/>
          <w:highlight w:val="none"/>
          <w:lang w:val="en-US" w:eastAsia="zh-CN"/>
        </w:rPr>
        <w:t>地点</w:t>
      </w:r>
      <w:r>
        <w:rPr>
          <w:rFonts w:hint="eastAsia" w:ascii="宋体" w:hAnsi="宋体" w:eastAsia="宋体" w:cs="宋体"/>
          <w:b w:val="0"/>
          <w:bCs w:val="0"/>
          <w:sz w:val="21"/>
          <w:szCs w:val="21"/>
          <w:highlight w:val="none"/>
          <w:lang w:val="en-US" w:eastAsia="zh-CN"/>
        </w:rPr>
        <w:t>：中国重汽集团济南卡车股份有限公司党家厂区、莱芜厂区</w:t>
      </w:r>
    </w:p>
    <w:p w14:paraId="03DBC406">
      <w:pPr>
        <w:pStyle w:val="7"/>
        <w:spacing w:line="360" w:lineRule="auto"/>
        <w:ind w:firstLine="422" w:firstLineChars="200"/>
        <w:rPr>
          <w:rFonts w:hint="eastAsia"/>
        </w:rPr>
      </w:pPr>
      <w:r>
        <w:rPr>
          <w:rFonts w:hint="eastAsia" w:hAnsi="宋体" w:cs="宋体"/>
          <w:b/>
          <w:bCs/>
          <w:sz w:val="21"/>
          <w:szCs w:val="21"/>
          <w:highlight w:val="none"/>
          <w:lang w:val="en-US" w:eastAsia="zh-CN"/>
        </w:rPr>
        <w:t>3、</w:t>
      </w:r>
      <w:r>
        <w:rPr>
          <w:rFonts w:hint="eastAsia" w:ascii="宋体" w:hAnsi="宋体" w:eastAsia="宋体" w:cs="宋体"/>
          <w:b/>
          <w:bCs/>
          <w:sz w:val="21"/>
          <w:szCs w:val="21"/>
          <w:highlight w:val="none"/>
        </w:rPr>
        <w:t>付款方式</w:t>
      </w:r>
      <w:r>
        <w:rPr>
          <w:rFonts w:hint="eastAsia" w:ascii="宋体" w:hAnsi="宋体" w:eastAsia="宋体" w:cs="宋体"/>
          <w:b w:val="0"/>
          <w:bCs w:val="0"/>
          <w:sz w:val="21"/>
          <w:szCs w:val="21"/>
          <w:highlight w:val="none"/>
          <w:lang w:eastAsia="zh-CN"/>
        </w:rPr>
        <w:t>：</w:t>
      </w:r>
      <w:r>
        <w:rPr>
          <w:rFonts w:hint="eastAsia"/>
          <w:b/>
          <w:bCs/>
          <w:highlight w:val="none"/>
          <w:u w:val="single"/>
        </w:rPr>
        <w:t>验收款90%，质保金10%</w:t>
      </w:r>
      <w:r>
        <w:rPr>
          <w:rFonts w:hint="eastAsia"/>
        </w:rPr>
        <w:t>。</w:t>
      </w:r>
    </w:p>
    <w:p w14:paraId="24E66345">
      <w:pPr>
        <w:pStyle w:val="7"/>
        <w:spacing w:line="360" w:lineRule="auto"/>
        <w:ind w:firstLine="420" w:firstLineChars="200"/>
        <w:rPr>
          <w:rFonts w:hint="eastAsia"/>
        </w:rPr>
      </w:pPr>
      <w:r>
        <w:rPr>
          <w:rFonts w:hint="eastAsia"/>
        </w:rPr>
        <w:t>具体以双方最终签署的合同为准</w:t>
      </w:r>
      <w:r>
        <w:rPr>
          <w:rFonts w:hint="eastAsia"/>
          <w:lang w:eastAsia="zh-CN"/>
        </w:rPr>
        <w:t>：</w:t>
      </w:r>
      <w:r>
        <w:rPr>
          <w:rFonts w:hint="eastAsia"/>
          <w:b/>
          <w:bCs/>
          <w:u w:val="single"/>
          <w:lang w:eastAsia="zh-CN"/>
        </w:rPr>
        <w:t>框架合同，据实结算。</w:t>
      </w:r>
    </w:p>
    <w:p w14:paraId="77D31DCD">
      <w:pPr>
        <w:pStyle w:val="7"/>
        <w:spacing w:line="360" w:lineRule="auto"/>
        <w:ind w:firstLine="422" w:firstLineChars="200"/>
        <w:rPr>
          <w:rFonts w:hint="eastAsia"/>
          <w:b/>
          <w:bCs/>
          <w:highlight w:val="none"/>
          <w:u w:val="single"/>
          <w:lang w:eastAsia="zh-CN"/>
        </w:rPr>
      </w:pPr>
      <w:r>
        <w:rPr>
          <w:rFonts w:hint="eastAsia"/>
          <w:b/>
          <w:bCs/>
          <w:highlight w:val="none"/>
          <w:u w:val="none"/>
        </w:rPr>
        <w:t>付款结算方法：</w:t>
      </w:r>
      <w:r>
        <w:rPr>
          <w:rFonts w:hint="eastAsia"/>
          <w:b/>
          <w:bCs/>
          <w:highlight w:val="none"/>
          <w:u w:val="single"/>
        </w:rPr>
        <w:t>半年期</w:t>
      </w:r>
      <w:r>
        <w:rPr>
          <w:rFonts w:hint="eastAsia"/>
          <w:b/>
          <w:bCs/>
          <w:highlight w:val="none"/>
          <w:u w:val="single"/>
          <w:lang w:val="en-US" w:eastAsia="zh-CN"/>
        </w:rPr>
        <w:t>商业</w:t>
      </w:r>
      <w:r>
        <w:rPr>
          <w:rFonts w:hint="eastAsia"/>
          <w:b/>
          <w:bCs/>
          <w:highlight w:val="none"/>
          <w:u w:val="single"/>
        </w:rPr>
        <w:t>汇票（包括银行承兑汇票和商业承兑汇票）</w:t>
      </w:r>
    </w:p>
    <w:p w14:paraId="0D0B9E4E">
      <w:pPr>
        <w:pStyle w:val="20"/>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sz w:val="21"/>
          <w:szCs w:val="21"/>
          <w:highlight w:val="none"/>
          <w:lang w:val="en-US" w:eastAsia="zh-CN"/>
        </w:rPr>
      </w:pPr>
      <w:r>
        <w:rPr>
          <w:rFonts w:hint="default" w:ascii="宋体" w:hAnsi="宋体" w:eastAsia="宋体" w:cs="宋体"/>
          <w:b w:val="0"/>
          <w:bCs w:val="0"/>
          <w:sz w:val="21"/>
          <w:szCs w:val="21"/>
          <w:highlight w:val="none"/>
          <w:lang w:val="en-US" w:eastAsia="zh-CN"/>
        </w:rPr>
        <w:t>①</w:t>
      </w:r>
      <w:r>
        <w:rPr>
          <w:rFonts w:hint="eastAsia" w:ascii="宋体" w:hAnsi="宋体" w:eastAsia="宋体" w:cs="宋体"/>
          <w:b w:val="0"/>
          <w:bCs w:val="0"/>
          <w:sz w:val="21"/>
          <w:szCs w:val="21"/>
          <w:highlight w:val="none"/>
          <w:lang w:val="en-US" w:eastAsia="zh-CN"/>
        </w:rPr>
        <w:t>在合同约定期限内全部实施完毕无质量问题，经最终验收合格后中标方提交下列单据经招标方审核无误后，招标方根据济南卡车制造公司财务管理流程，按照规定挂账后30天账期，账期满后提交资金计划后付给中标方合同结算价格约 90%的价款。</w:t>
      </w:r>
    </w:p>
    <w:p w14:paraId="19B5954C">
      <w:pPr>
        <w:pStyle w:val="20"/>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A 金额为合同总价格100%的增值税专用发票（适应税率）。</w:t>
      </w:r>
    </w:p>
    <w:p w14:paraId="1434B38D">
      <w:pPr>
        <w:pStyle w:val="20"/>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B 该项目最终验收该项目最终验收证书的复印件一份，财务授权书一式两份，营业执照复印件一份。</w:t>
      </w:r>
    </w:p>
    <w:p w14:paraId="6DE2646B">
      <w:pPr>
        <w:pStyle w:val="7"/>
        <w:spacing w:line="360" w:lineRule="auto"/>
        <w:ind w:firstLine="420" w:firstLineChars="200"/>
        <w:rPr>
          <w:rFonts w:hint="eastAsia" w:ascii="黑体" w:eastAsia="黑体"/>
          <w:b/>
          <w:bCs/>
          <w:sz w:val="28"/>
        </w:rPr>
      </w:pPr>
      <w:r>
        <w:rPr>
          <w:rFonts w:hint="eastAsia" w:ascii="宋体" w:hAnsi="宋体" w:eastAsia="宋体" w:cs="宋体"/>
          <w:b w:val="0"/>
          <w:bCs w:val="0"/>
          <w:sz w:val="21"/>
          <w:szCs w:val="21"/>
          <w:highlight w:val="none"/>
          <w:lang w:val="en-US" w:eastAsia="zh-CN"/>
        </w:rPr>
        <w:t>②剩余合同</w:t>
      </w:r>
      <w:r>
        <w:rPr>
          <w:rFonts w:hint="eastAsia" w:hAnsi="宋体" w:cs="宋体"/>
          <w:b w:val="0"/>
          <w:bCs w:val="0"/>
          <w:sz w:val="21"/>
          <w:szCs w:val="21"/>
          <w:highlight w:val="none"/>
          <w:lang w:val="en-US" w:eastAsia="zh-CN"/>
        </w:rPr>
        <w:t>结算</w:t>
      </w:r>
      <w:r>
        <w:rPr>
          <w:rFonts w:hint="eastAsia" w:ascii="宋体" w:hAnsi="宋体" w:eastAsia="宋体" w:cs="宋体"/>
          <w:b w:val="0"/>
          <w:bCs w:val="0"/>
          <w:sz w:val="21"/>
          <w:szCs w:val="21"/>
          <w:highlight w:val="none"/>
          <w:lang w:val="en-US" w:eastAsia="zh-CN"/>
        </w:rPr>
        <w:t>价款的 10% 作为质量保证金，待本项目整体质量保证期（</w:t>
      </w:r>
      <w:r>
        <w:rPr>
          <w:rFonts w:hint="eastAsia" w:hAnsi="宋体" w:cs="宋体"/>
          <w:b w:val="0"/>
          <w:bCs w:val="0"/>
          <w:sz w:val="21"/>
          <w:szCs w:val="21"/>
          <w:highlight w:val="none"/>
          <w:lang w:val="en-US" w:eastAsia="zh-CN"/>
        </w:rPr>
        <w:t>1</w:t>
      </w:r>
      <w:r>
        <w:rPr>
          <w:rFonts w:hint="eastAsia" w:ascii="宋体" w:hAnsi="宋体" w:eastAsia="宋体" w:cs="宋体"/>
          <w:b w:val="0"/>
          <w:bCs w:val="0"/>
          <w:sz w:val="21"/>
          <w:szCs w:val="21"/>
          <w:highlight w:val="none"/>
          <w:lang w:val="en-US" w:eastAsia="zh-CN"/>
        </w:rPr>
        <w:t>年）满，经招标单位出具证明和必要的手续，招标方支付给投标方该套合同总价格的 10%质保金（如有问题，应扣除相应部分款项）。</w:t>
      </w:r>
      <w:r>
        <w:rPr>
          <w:rFonts w:hint="eastAsia" w:ascii="宋体" w:hAnsi="宋体" w:eastAsia="宋体" w:cs="宋体"/>
          <w:b w:val="0"/>
          <w:bCs w:val="0"/>
          <w:sz w:val="21"/>
          <w:szCs w:val="21"/>
          <w:highlight w:val="none"/>
          <w:lang w:val="en-US" w:eastAsia="zh-CN"/>
        </w:rPr>
        <w:br w:type="textWrapping"/>
      </w:r>
      <w:r>
        <w:rPr>
          <w:rFonts w:hint="eastAsia" w:ascii="黑体" w:eastAsia="黑体"/>
          <w:b/>
          <w:bCs/>
          <w:sz w:val="28"/>
        </w:rPr>
        <w:t xml:space="preserve">四、议程安排 </w:t>
      </w:r>
    </w:p>
    <w:p w14:paraId="1185BE2D">
      <w:pPr>
        <w:pStyle w:val="7"/>
        <w:numPr>
          <w:ilvl w:val="0"/>
          <w:numId w:val="4"/>
        </w:numPr>
        <w:spacing w:line="360" w:lineRule="auto"/>
        <w:ind w:left="425" w:leftChars="0" w:hanging="425" w:firstLineChars="0"/>
        <w:rPr>
          <w:rFonts w:hint="eastAsia"/>
          <w:color w:val="auto"/>
        </w:rPr>
      </w:pPr>
      <w:r>
        <w:rPr>
          <w:rFonts w:hint="eastAsia"/>
          <w:color w:val="auto"/>
        </w:rPr>
        <w:t>报名截止时间：</w:t>
      </w:r>
      <w:r>
        <w:rPr>
          <w:rFonts w:hint="eastAsia" w:cs="Times New Roman"/>
          <w:color w:val="0000FF"/>
        </w:rPr>
        <w:t>202</w:t>
      </w:r>
      <w:r>
        <w:rPr>
          <w:rFonts w:hint="eastAsia" w:cs="Times New Roman"/>
          <w:color w:val="0000FF"/>
          <w:lang w:val="en-US" w:eastAsia="zh-CN"/>
        </w:rPr>
        <w:t>6</w:t>
      </w:r>
      <w:r>
        <w:rPr>
          <w:rFonts w:hint="eastAsia" w:cs="Times New Roman"/>
          <w:color w:val="0000FF"/>
        </w:rPr>
        <w:t>年</w:t>
      </w:r>
      <w:r>
        <w:rPr>
          <w:rFonts w:hint="eastAsia" w:cs="Times New Roman"/>
          <w:color w:val="0000FF"/>
          <w:lang w:val="en-US" w:eastAsia="zh-CN"/>
        </w:rPr>
        <w:t>09</w:t>
      </w:r>
      <w:r>
        <w:rPr>
          <w:rFonts w:hint="eastAsia" w:cs="Times New Roman"/>
          <w:color w:val="0000FF"/>
        </w:rPr>
        <w:t>月</w:t>
      </w:r>
      <w:r>
        <w:rPr>
          <w:rFonts w:hint="eastAsia" w:cs="Times New Roman"/>
          <w:color w:val="0000FF"/>
          <w:lang w:val="en-US" w:eastAsia="zh-CN"/>
        </w:rPr>
        <w:t xml:space="preserve"> 26</w:t>
      </w:r>
      <w:r>
        <w:rPr>
          <w:rFonts w:hint="eastAsia" w:cs="Times New Roman"/>
          <w:color w:val="0000FF"/>
        </w:rPr>
        <w:t>日下午</w:t>
      </w:r>
      <w:r>
        <w:rPr>
          <w:rFonts w:hint="eastAsia" w:cs="Times New Roman"/>
          <w:color w:val="0000FF"/>
          <w:lang w:val="en-US" w:eastAsia="zh-CN"/>
        </w:rPr>
        <w:t>22</w:t>
      </w:r>
      <w:r>
        <w:rPr>
          <w:rFonts w:hint="eastAsia" w:cs="Times New Roman"/>
          <w:color w:val="0000FF"/>
        </w:rPr>
        <w:t>时</w:t>
      </w:r>
      <w:r>
        <w:rPr>
          <w:rFonts w:hint="eastAsia"/>
          <w:color w:val="auto"/>
        </w:rPr>
        <w:t>。</w:t>
      </w:r>
    </w:p>
    <w:p w14:paraId="7376D370">
      <w:pPr>
        <w:pStyle w:val="7"/>
        <w:numPr>
          <w:ilvl w:val="0"/>
          <w:numId w:val="4"/>
        </w:numPr>
        <w:spacing w:line="360" w:lineRule="auto"/>
        <w:ind w:left="425" w:leftChars="0" w:hanging="425" w:firstLineChars="0"/>
        <w:rPr>
          <w:rFonts w:hint="eastAsia"/>
        </w:rPr>
      </w:pPr>
      <w:r>
        <w:rPr>
          <w:rFonts w:hint="eastAsia"/>
        </w:rPr>
        <w:t>答疑时间：截止至</w:t>
      </w:r>
      <w:r>
        <w:rPr>
          <w:rFonts w:hint="eastAsia"/>
          <w:color w:val="0000FF"/>
        </w:rPr>
        <w:t>202</w:t>
      </w:r>
      <w:r>
        <w:rPr>
          <w:rFonts w:hint="eastAsia"/>
          <w:color w:val="0000FF"/>
          <w:lang w:val="en-US" w:eastAsia="zh-CN"/>
        </w:rPr>
        <w:t>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 xml:space="preserve"> 07</w:t>
      </w:r>
      <w:r>
        <w:rPr>
          <w:rFonts w:hint="eastAsia"/>
          <w:color w:val="0000FF"/>
        </w:rPr>
        <w:t>日</w:t>
      </w:r>
      <w:r>
        <w:rPr>
          <w:rFonts w:hint="eastAsia" w:cs="Times New Roman"/>
          <w:color w:val="0000FF"/>
        </w:rPr>
        <w:t>下午</w:t>
      </w:r>
      <w:r>
        <w:rPr>
          <w:rFonts w:hint="eastAsia" w:cs="Times New Roman"/>
          <w:color w:val="0000FF"/>
          <w:lang w:val="en-US" w:eastAsia="zh-CN"/>
        </w:rPr>
        <w:t>22</w:t>
      </w:r>
      <w:r>
        <w:rPr>
          <w:rFonts w:hint="eastAsia" w:cs="Times New Roman"/>
          <w:color w:val="0000FF"/>
        </w:rPr>
        <w:t>时</w:t>
      </w:r>
      <w:r>
        <w:rPr>
          <w:rFonts w:hint="eastAsia"/>
          <w:color w:val="0000FF"/>
        </w:rPr>
        <w:t>前。</w:t>
      </w:r>
    </w:p>
    <w:p w14:paraId="261CEBEE">
      <w:pPr>
        <w:pStyle w:val="7"/>
        <w:spacing w:line="360" w:lineRule="auto"/>
        <w:ind w:firstLine="630" w:firstLineChars="300"/>
        <w:rPr>
          <w:rFonts w:hint="default" w:eastAsia="宋体" w:cs="Times New Roman"/>
          <w:lang w:val="en-US" w:eastAsia="zh-CN"/>
        </w:rPr>
      </w:pPr>
      <w:r>
        <w:rPr>
          <w:rFonts w:hint="eastAsia"/>
        </w:rPr>
        <w:t>答疑</w:t>
      </w:r>
      <w:r>
        <w:rPr>
          <w:rFonts w:hint="eastAsia" w:cs="Times New Roman"/>
        </w:rPr>
        <w:t>联系人：</w:t>
      </w:r>
      <w:r>
        <w:rPr>
          <w:rFonts w:hint="eastAsia" w:cs="Times New Roman"/>
          <w:lang w:val="en-US" w:eastAsia="zh-CN"/>
        </w:rPr>
        <w:t xml:space="preserve">王艳 </w:t>
      </w:r>
      <w:r>
        <w:rPr>
          <w:rFonts w:hint="eastAsia" w:cs="Times New Roman"/>
        </w:rPr>
        <w:t xml:space="preserve">   答疑联系电话：</w:t>
      </w:r>
      <w:r>
        <w:rPr>
          <w:rFonts w:hint="eastAsia" w:cs="Times New Roman"/>
          <w:lang w:val="en-US" w:eastAsia="zh-CN"/>
        </w:rPr>
        <w:t>15964548466</w:t>
      </w:r>
    </w:p>
    <w:p w14:paraId="462D79E5">
      <w:pPr>
        <w:pStyle w:val="7"/>
        <w:numPr>
          <w:ilvl w:val="0"/>
          <w:numId w:val="4"/>
        </w:numPr>
        <w:spacing w:line="360" w:lineRule="auto"/>
        <w:ind w:left="425" w:leftChars="0" w:hanging="425" w:firstLineChars="0"/>
        <w:rPr>
          <w:rFonts w:hint="eastAsia"/>
          <w:color w:val="auto"/>
        </w:rPr>
      </w:pPr>
      <w:r>
        <w:rPr>
          <w:rFonts w:hint="eastAsia"/>
          <w:color w:val="auto"/>
          <w:lang w:val="en-US" w:eastAsia="zh-CN"/>
        </w:rPr>
        <w:t>投标截止时间：</w:t>
      </w:r>
      <w:r>
        <w:rPr>
          <w:rFonts w:hint="eastAsia" w:cs="Times New Roman"/>
          <w:color w:val="0000FF"/>
        </w:rPr>
        <w:t>202</w:t>
      </w:r>
      <w:r>
        <w:rPr>
          <w:rFonts w:hint="eastAsia" w:cs="Times New Roman"/>
          <w:color w:val="0000FF"/>
          <w:lang w:val="en-US" w:eastAsia="zh-CN"/>
        </w:rPr>
        <w:t>6</w:t>
      </w:r>
      <w:r>
        <w:rPr>
          <w:rFonts w:hint="eastAsia" w:cs="Times New Roman"/>
          <w:color w:val="0000FF"/>
        </w:rPr>
        <w:t>年</w:t>
      </w:r>
      <w:r>
        <w:rPr>
          <w:rFonts w:hint="eastAsia" w:cs="Times New Roman"/>
          <w:color w:val="0000FF"/>
          <w:lang w:val="en-US" w:eastAsia="zh-CN"/>
        </w:rPr>
        <w:t>10</w:t>
      </w:r>
      <w:r>
        <w:rPr>
          <w:rFonts w:hint="eastAsia" w:cs="Times New Roman"/>
          <w:color w:val="0000FF"/>
        </w:rPr>
        <w:t>月</w:t>
      </w:r>
      <w:r>
        <w:rPr>
          <w:rFonts w:hint="eastAsia" w:cs="Times New Roman"/>
          <w:color w:val="0000FF"/>
          <w:lang w:val="en-US" w:eastAsia="zh-CN"/>
        </w:rPr>
        <w:t xml:space="preserve">07 </w:t>
      </w:r>
      <w:r>
        <w:rPr>
          <w:rFonts w:hint="eastAsia" w:cs="Times New Roman"/>
          <w:color w:val="0000FF"/>
        </w:rPr>
        <w:t>日下午</w:t>
      </w:r>
      <w:r>
        <w:rPr>
          <w:rFonts w:hint="eastAsia" w:cs="Times New Roman"/>
          <w:color w:val="0000FF"/>
          <w:lang w:val="en-US" w:eastAsia="zh-CN"/>
        </w:rPr>
        <w:t>22</w:t>
      </w:r>
      <w:r>
        <w:rPr>
          <w:rFonts w:hint="eastAsia" w:cs="Times New Roman"/>
          <w:color w:val="0000FF"/>
        </w:rPr>
        <w:t>时</w:t>
      </w:r>
      <w:r>
        <w:rPr>
          <w:rFonts w:hint="eastAsia" w:cs="Times New Roman"/>
          <w:color w:val="0000FF"/>
          <w:lang w:eastAsia="zh-CN"/>
        </w:rPr>
        <w:t>。</w:t>
      </w:r>
    </w:p>
    <w:p w14:paraId="459D11E7">
      <w:pPr>
        <w:pStyle w:val="7"/>
        <w:numPr>
          <w:ilvl w:val="0"/>
          <w:numId w:val="4"/>
        </w:numPr>
        <w:spacing w:line="360" w:lineRule="auto"/>
        <w:ind w:left="425" w:leftChars="0" w:hanging="425" w:firstLineChars="0"/>
        <w:rPr>
          <w:rFonts w:hint="eastAsia"/>
        </w:rPr>
      </w:pPr>
      <w:r>
        <w:rPr>
          <w:rFonts w:hint="eastAsia"/>
        </w:rPr>
        <w:t>开标时间：</w:t>
      </w:r>
      <w:r>
        <w:rPr>
          <w:rFonts w:hint="eastAsia"/>
          <w:color w:val="0000FF"/>
        </w:rPr>
        <w:t>202</w:t>
      </w:r>
      <w:r>
        <w:rPr>
          <w:rFonts w:hint="eastAsia"/>
          <w:color w:val="0000FF"/>
          <w:lang w:val="en-US" w:eastAsia="zh-CN"/>
        </w:rPr>
        <w:t>6</w:t>
      </w:r>
      <w:r>
        <w:rPr>
          <w:rFonts w:hint="eastAsia"/>
          <w:color w:val="0000FF"/>
        </w:rPr>
        <w:t>年</w:t>
      </w:r>
      <w:r>
        <w:rPr>
          <w:rFonts w:hint="eastAsia"/>
          <w:color w:val="0000FF"/>
          <w:lang w:val="en-US" w:eastAsia="zh-CN"/>
        </w:rPr>
        <w:t>10</w:t>
      </w:r>
      <w:r>
        <w:rPr>
          <w:rFonts w:hint="eastAsia"/>
          <w:color w:val="0000FF"/>
        </w:rPr>
        <w:t>月</w:t>
      </w:r>
      <w:r>
        <w:rPr>
          <w:rFonts w:hint="eastAsia"/>
          <w:color w:val="0000FF"/>
          <w:lang w:val="en-US" w:eastAsia="zh-CN"/>
        </w:rPr>
        <w:t>08</w:t>
      </w:r>
      <w:r>
        <w:rPr>
          <w:rFonts w:hint="eastAsia"/>
          <w:color w:val="0000FF"/>
        </w:rPr>
        <w:t>日</w:t>
      </w:r>
      <w:r>
        <w:rPr>
          <w:rFonts w:hint="eastAsia"/>
          <w:color w:val="0000FF"/>
          <w:lang w:val="en-US" w:eastAsia="zh-CN"/>
        </w:rPr>
        <w:t>下午13：30时</w:t>
      </w:r>
      <w:r>
        <w:rPr>
          <w:rFonts w:hint="eastAsia"/>
          <w:color w:val="0000FF"/>
        </w:rPr>
        <w:t>（若有变动另行通知）</w:t>
      </w:r>
      <w:r>
        <w:rPr>
          <w:rFonts w:hint="eastAsia"/>
        </w:rPr>
        <w:t>。</w:t>
      </w:r>
    </w:p>
    <w:p w14:paraId="6F16C094">
      <w:pPr>
        <w:pStyle w:val="7"/>
        <w:numPr>
          <w:ilvl w:val="0"/>
          <w:numId w:val="4"/>
        </w:numPr>
        <w:spacing w:line="360" w:lineRule="auto"/>
        <w:ind w:left="425" w:leftChars="0" w:hanging="425" w:firstLineChars="0"/>
        <w:rPr>
          <w:rFonts w:hint="eastAsia"/>
        </w:rPr>
      </w:pPr>
      <w:r>
        <w:rPr>
          <w:rFonts w:hint="eastAsia"/>
          <w:lang w:val="en-US" w:eastAsia="zh-CN"/>
        </w:rPr>
        <w:t>开</w:t>
      </w:r>
      <w:r>
        <w:rPr>
          <w:rFonts w:hint="eastAsia"/>
        </w:rPr>
        <w:t>标地点：</w:t>
      </w:r>
      <w:r>
        <w:rPr>
          <w:rFonts w:hint="eastAsia"/>
          <w:lang w:val="en-US" w:eastAsia="zh-CN"/>
        </w:rPr>
        <w:t>山东省济南市莱芜区莱城大道777号中国重汽集团济南卡车股份有限公司综合办公楼212会议室。（待定）</w:t>
      </w:r>
    </w:p>
    <w:p w14:paraId="2BCC9D58">
      <w:pPr>
        <w:pStyle w:val="7"/>
        <w:numPr>
          <w:ilvl w:val="0"/>
          <w:numId w:val="4"/>
        </w:numPr>
        <w:spacing w:line="360" w:lineRule="auto"/>
        <w:ind w:left="425" w:leftChars="0" w:hanging="425" w:firstLineChars="0"/>
        <w:rPr>
          <w:rFonts w:hint="eastAsia" w:eastAsia="宋体"/>
          <w:lang w:eastAsia="zh-CN"/>
        </w:rPr>
      </w:pPr>
      <w:r>
        <w:rPr>
          <w:rFonts w:hint="eastAsia"/>
        </w:rPr>
        <w:t>报名及商务事宜联系人：</w:t>
      </w:r>
    </w:p>
    <w:p w14:paraId="66772D76">
      <w:pPr>
        <w:pStyle w:val="7"/>
        <w:spacing w:line="360" w:lineRule="auto"/>
        <w:ind w:firstLine="420" w:firstLineChars="200"/>
        <w:rPr>
          <w:rFonts w:hint="default"/>
          <w:lang w:val="en-US" w:eastAsia="zh-CN"/>
        </w:rPr>
      </w:pPr>
      <w:r>
        <w:rPr>
          <w:rFonts w:hint="eastAsia"/>
        </w:rPr>
        <w:t xml:space="preserve">  联系电话：</w:t>
      </w:r>
      <w:r>
        <w:rPr>
          <w:rFonts w:hint="eastAsia" w:cs="Times New Roman"/>
          <w:lang w:val="en-US" w:eastAsia="zh-CN"/>
        </w:rPr>
        <w:t>王艳 15964548466</w:t>
      </w:r>
    </w:p>
    <w:p w14:paraId="6A01369D">
      <w:pPr>
        <w:pStyle w:val="7"/>
        <w:spacing w:line="360" w:lineRule="auto"/>
        <w:rPr>
          <w:rFonts w:ascii="黑体" w:eastAsia="黑体"/>
          <w:b/>
          <w:bCs/>
          <w:sz w:val="28"/>
        </w:rPr>
      </w:pPr>
      <w:r>
        <w:rPr>
          <w:rFonts w:hint="eastAsia" w:ascii="黑体" w:eastAsia="黑体"/>
          <w:b/>
          <w:bCs/>
          <w:sz w:val="28"/>
        </w:rPr>
        <w:t>五、招标文件的领取、答疑、应标及投标报名</w:t>
      </w:r>
    </w:p>
    <w:p w14:paraId="23C18C04">
      <w:pPr>
        <w:pStyle w:val="21"/>
        <w:numPr>
          <w:ilvl w:val="0"/>
          <w:numId w:val="5"/>
        </w:numPr>
        <w:ind w:left="425" w:leftChars="0" w:hanging="425" w:firstLineChars="0"/>
        <w:jc w:val="both"/>
        <w:rPr>
          <w:rFonts w:hint="default" w:ascii="宋体" w:hAnsi="Courier New" w:eastAsia="宋体" w:cs="Times New Roman"/>
          <w:color w:val="auto"/>
          <w:highlight w:val="none"/>
          <w:lang w:val="en-US" w:eastAsia="zh-CN"/>
        </w:rPr>
      </w:pPr>
      <w:r>
        <w:rPr>
          <w:rFonts w:hint="eastAsia" w:ascii="宋体" w:hAnsi="Courier New" w:eastAsia="宋体" w:cs="Times New Roman"/>
          <w:b/>
          <w:bCs/>
          <w:color w:val="auto"/>
          <w:highlight w:val="none"/>
          <w:lang w:val="en-US" w:eastAsia="zh-CN"/>
        </w:rPr>
        <w:t>发标时间</w:t>
      </w:r>
      <w:r>
        <w:rPr>
          <w:rFonts w:hint="eastAsia" w:ascii="宋体" w:hAnsi="Courier New" w:eastAsia="宋体" w:cs="Times New Roman"/>
          <w:color w:val="auto"/>
          <w:highlight w:val="none"/>
          <w:lang w:val="en-US" w:eastAsia="zh-CN"/>
        </w:rPr>
        <w:t>：</w:t>
      </w:r>
      <w:r>
        <w:rPr>
          <w:rFonts w:hint="eastAsia" w:ascii="宋体" w:hAnsi="Courier New" w:eastAsia="宋体" w:cs="Times New Roman"/>
          <w:color w:val="0000FF"/>
          <w:kern w:val="2"/>
          <w:sz w:val="21"/>
          <w:lang w:val="en-US" w:eastAsia="zh-CN" w:bidi="ar-SA"/>
        </w:rPr>
        <w:t>2026年</w:t>
      </w:r>
      <w:r>
        <w:rPr>
          <w:rFonts w:hint="eastAsia" w:cs="Times New Roman"/>
          <w:color w:val="0000FF"/>
          <w:kern w:val="2"/>
          <w:sz w:val="21"/>
          <w:lang w:val="en-US" w:eastAsia="zh-CN" w:bidi="ar-SA"/>
        </w:rPr>
        <w:t>9</w:t>
      </w:r>
      <w:r>
        <w:rPr>
          <w:rFonts w:hint="eastAsia" w:ascii="宋体" w:hAnsi="Courier New" w:eastAsia="宋体" w:cs="Times New Roman"/>
          <w:color w:val="0000FF"/>
          <w:kern w:val="2"/>
          <w:sz w:val="21"/>
          <w:lang w:val="en-US" w:eastAsia="zh-CN" w:bidi="ar-SA"/>
        </w:rPr>
        <w:t>月</w:t>
      </w:r>
      <w:r>
        <w:rPr>
          <w:rFonts w:hint="eastAsia" w:cs="Times New Roman"/>
          <w:color w:val="0000FF"/>
          <w:kern w:val="2"/>
          <w:sz w:val="21"/>
          <w:lang w:val="en-US" w:eastAsia="zh-CN" w:bidi="ar-SA"/>
        </w:rPr>
        <w:t xml:space="preserve">17 </w:t>
      </w:r>
      <w:r>
        <w:rPr>
          <w:rFonts w:hint="eastAsia" w:ascii="宋体" w:hAnsi="Courier New" w:eastAsia="宋体" w:cs="Times New Roman"/>
          <w:color w:val="0000FF"/>
          <w:kern w:val="2"/>
          <w:sz w:val="21"/>
          <w:lang w:val="en-US" w:eastAsia="zh-CN" w:bidi="ar-SA"/>
        </w:rPr>
        <w:t>日</w:t>
      </w:r>
    </w:p>
    <w:p w14:paraId="04ACA6F8">
      <w:pPr>
        <w:pStyle w:val="21"/>
        <w:numPr>
          <w:ilvl w:val="0"/>
          <w:numId w:val="5"/>
        </w:numPr>
        <w:ind w:left="425" w:leftChars="0" w:hanging="425" w:firstLineChars="0"/>
        <w:jc w:val="both"/>
        <w:rPr>
          <w:rFonts w:hint="default"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发标方式</w:t>
      </w:r>
      <w:r>
        <w:rPr>
          <w:rFonts w:hint="eastAsia" w:ascii="宋体" w:hAnsi="Courier New" w:eastAsia="宋体" w:cs="Times New Roman"/>
          <w:highlight w:val="none"/>
          <w:lang w:val="en-US" w:eastAsia="zh-CN"/>
        </w:rPr>
        <w:t>：中国重汽官网</w:t>
      </w:r>
    </w:p>
    <w:p w14:paraId="7AB51490">
      <w:pPr>
        <w:pStyle w:val="21"/>
        <w:numPr>
          <w:ilvl w:val="0"/>
          <w:numId w:val="5"/>
        </w:numPr>
        <w:ind w:left="425" w:leftChars="0" w:hanging="425" w:firstLineChars="0"/>
        <w:jc w:val="both"/>
        <w:rPr>
          <w:rFonts w:hint="eastAsia" w:ascii="宋体" w:hAnsi="Courier New" w:eastAsia="宋体" w:cs="Times New Roman"/>
          <w:highlight w:val="none"/>
          <w:lang w:val="en-US" w:eastAsia="zh-CN"/>
        </w:rPr>
      </w:pPr>
      <w:r>
        <w:rPr>
          <w:rFonts w:hint="eastAsia" w:ascii="宋体" w:hAnsi="Courier New" w:eastAsia="宋体" w:cs="Times New Roman"/>
          <w:b/>
          <w:bCs/>
          <w:highlight w:val="none"/>
          <w:lang w:val="en-US" w:eastAsia="zh-CN"/>
        </w:rPr>
        <w:t>报名方式</w:t>
      </w:r>
      <w:r>
        <w:rPr>
          <w:rFonts w:hint="eastAsia" w:cs="Times New Roman"/>
          <w:highlight w:val="none"/>
          <w:lang w:val="en-US" w:eastAsia="zh-CN"/>
        </w:rPr>
        <w:t>：</w:t>
      </w:r>
    </w:p>
    <w:p w14:paraId="651527ED">
      <w:pPr>
        <w:pStyle w:val="21"/>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jc w:val="both"/>
        <w:textAlignment w:val="auto"/>
        <w:rPr>
          <w:rFonts w:hint="eastAsia" w:ascii="宋体" w:hAnsi="Courier New" w:eastAsia="宋体" w:cs="Times New Roman"/>
          <w:sz w:val="21"/>
          <w:szCs w:val="21"/>
          <w:highlight w:val="none"/>
          <w:lang w:val="en-US" w:eastAsia="zh-CN"/>
        </w:rPr>
      </w:pPr>
      <w:r>
        <w:rPr>
          <w:rFonts w:hint="eastAsia" w:eastAsia="宋体" w:cs="宋体"/>
          <w:sz w:val="21"/>
          <w:szCs w:val="21"/>
          <w:highlight w:val="none"/>
        </w:rPr>
        <w:t>拟投标人根据招标人在中国重汽官网</w:t>
      </w:r>
      <w:r>
        <w:rPr>
          <w:rFonts w:hint="eastAsia" w:eastAsia="宋体" w:cs="宋体"/>
          <w:sz w:val="21"/>
          <w:szCs w:val="21"/>
          <w:highlight w:val="none"/>
          <w:lang w:val="en-US" w:eastAsia="zh-CN"/>
        </w:rPr>
        <w:t>公开媒体</w:t>
      </w:r>
      <w:r>
        <w:rPr>
          <w:rFonts w:hint="eastAsia" w:eastAsia="宋体" w:cs="宋体"/>
          <w:sz w:val="21"/>
          <w:szCs w:val="21"/>
          <w:highlight w:val="none"/>
        </w:rPr>
        <w:t>上发布的招标信息，</w:t>
      </w:r>
      <w:r>
        <w:rPr>
          <w:rFonts w:hint="eastAsia" w:ascii="宋体" w:hAnsi="Courier New" w:eastAsia="宋体" w:cs="Times New Roman"/>
          <w:color w:val="000000"/>
          <w:sz w:val="21"/>
          <w:szCs w:val="21"/>
          <w:highlight w:val="none"/>
          <w:lang w:val="en-US" w:eastAsia="zh-CN"/>
        </w:rPr>
        <w:t>在“中国重汽e采通”平台</w:t>
      </w:r>
      <w:r>
        <w:rPr>
          <w:rFonts w:hint="eastAsia" w:ascii="宋体" w:hAnsi="Courier New" w:eastAsia="宋体" w:cs="Times New Roman"/>
          <w:color w:val="000000"/>
          <w:sz w:val="21"/>
          <w:szCs w:val="21"/>
          <w:highlight w:val="none"/>
        </w:rPr>
        <w:t>报名</w:t>
      </w:r>
      <w:r>
        <w:rPr>
          <w:rFonts w:hint="eastAsia" w:eastAsia="宋体" w:cs="宋体"/>
          <w:sz w:val="21"/>
          <w:szCs w:val="21"/>
          <w:highlight w:val="none"/>
        </w:rPr>
        <w:t>。</w:t>
      </w:r>
      <w:r>
        <w:rPr>
          <w:rFonts w:hint="eastAsia" w:eastAsia="宋体" w:cs="Times New Roman"/>
          <w:b/>
          <w:bCs/>
          <w:sz w:val="21"/>
          <w:szCs w:val="21"/>
          <w:highlight w:val="none"/>
        </w:rPr>
        <w:t>按照中国重汽e采通“SRM非生产供应商注册手册”（附件）进行注册</w:t>
      </w:r>
      <w:r>
        <w:rPr>
          <w:rFonts w:hint="eastAsia" w:eastAsia="宋体" w:cs="Times New Roman"/>
          <w:sz w:val="21"/>
          <w:szCs w:val="21"/>
          <w:highlight w:val="none"/>
        </w:rPr>
        <w:t>，</w:t>
      </w:r>
      <w:r>
        <w:rPr>
          <w:rFonts w:hint="eastAsia" w:eastAsia="宋体" w:cs="Times New Roman"/>
          <w:color w:val="000000"/>
          <w:sz w:val="21"/>
          <w:szCs w:val="21"/>
          <w:highlight w:val="none"/>
          <w:lang w:val="en-US" w:eastAsia="zh-CN"/>
        </w:rPr>
        <w:t>注册完毕后按照</w:t>
      </w:r>
      <w:r>
        <w:rPr>
          <w:rFonts w:hint="eastAsia" w:ascii="宋体" w:hAnsi="宋体" w:eastAsia="宋体" w:cs="宋体"/>
          <w:b/>
          <w:color w:val="000000"/>
          <w:sz w:val="21"/>
          <w:szCs w:val="21"/>
          <w:highlight w:val="none"/>
          <w:lang w:val="en-US" w:eastAsia="zh-CN"/>
        </w:rPr>
        <w:t>“SRM系统供应商用户手册（附件）”，</w:t>
      </w:r>
      <w:r>
        <w:rPr>
          <w:rFonts w:hint="eastAsia" w:ascii="宋体" w:hAnsi="宋体" w:eastAsia="宋体" w:cs="Times New Roman"/>
          <w:color w:val="000000"/>
          <w:sz w:val="21"/>
          <w:szCs w:val="21"/>
          <w:highlight w:val="none"/>
          <w:lang w:val="en-US" w:eastAsia="zh-CN"/>
        </w:rPr>
        <w:t>登录</w:t>
      </w:r>
      <w:r>
        <w:rPr>
          <w:rFonts w:hint="eastAsia" w:ascii="宋体" w:hAnsi="宋体" w:eastAsia="宋体" w:cs="宋体"/>
          <w:b/>
          <w:color w:val="000000"/>
          <w:sz w:val="21"/>
          <w:szCs w:val="21"/>
          <w:highlight w:val="none"/>
          <w:lang w:val="en-US" w:eastAsia="zh-CN"/>
        </w:rPr>
        <w:t>重汽e采通平台</w:t>
      </w:r>
      <w:r>
        <w:rPr>
          <w:rFonts w:hint="eastAsia" w:ascii="宋体" w:hAnsi="宋体" w:eastAsia="宋体" w:cs="Times New Roman"/>
          <w:color w:val="000000"/>
          <w:sz w:val="21"/>
          <w:szCs w:val="21"/>
          <w:highlight w:val="none"/>
          <w:lang w:val="en-US" w:eastAsia="zh-CN"/>
        </w:rPr>
        <w:t>后</w:t>
      </w:r>
      <w:r>
        <w:rPr>
          <w:rFonts w:hint="eastAsia" w:eastAsia="宋体" w:cs="Times New Roman"/>
          <w:color w:val="000000"/>
          <w:sz w:val="21"/>
          <w:szCs w:val="21"/>
          <w:highlight w:val="none"/>
          <w:lang w:val="en-US" w:eastAsia="zh-CN"/>
        </w:rPr>
        <w:t>进入“供应商应标”，</w:t>
      </w:r>
      <w:r>
        <w:rPr>
          <w:rFonts w:hint="eastAsia" w:ascii="宋体" w:hAnsi="宋体" w:eastAsia="宋体" w:cs="Times New Roman"/>
          <w:color w:val="000000"/>
          <w:sz w:val="21"/>
          <w:szCs w:val="21"/>
          <w:highlight w:val="none"/>
          <w:lang w:val="en-US" w:eastAsia="zh-CN"/>
        </w:rPr>
        <w:t>选择对应的项目，点击</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应标</w:t>
      </w:r>
      <w:r>
        <w:rPr>
          <w:rFonts w:hint="eastAsia" w:eastAsia="宋体" w:cs="Times New Roman"/>
          <w:color w:val="000000"/>
          <w:sz w:val="21"/>
          <w:szCs w:val="21"/>
          <w:highlight w:val="none"/>
          <w:lang w:val="en-US" w:eastAsia="zh-CN"/>
        </w:rPr>
        <w:t>”</w:t>
      </w:r>
      <w:r>
        <w:rPr>
          <w:rFonts w:hint="eastAsia" w:ascii="宋体" w:hAnsi="宋体" w:eastAsia="宋体" w:cs="Times New Roman"/>
          <w:b/>
          <w:bCs/>
          <w:color w:val="000000"/>
          <w:sz w:val="21"/>
          <w:szCs w:val="21"/>
          <w:highlight w:val="none"/>
          <w:lang w:val="en-US" w:eastAsia="zh-CN"/>
        </w:rPr>
        <w:t>后</w:t>
      </w:r>
      <w:r>
        <w:rPr>
          <w:rFonts w:hint="eastAsia" w:ascii="宋体" w:hAnsi="宋体" w:eastAsia="宋体" w:cs="Times New Roman"/>
          <w:b/>
          <w:bCs/>
          <w:color w:val="000000"/>
          <w:sz w:val="21"/>
          <w:szCs w:val="21"/>
          <w:highlight w:val="none"/>
        </w:rPr>
        <w:t>按照</w:t>
      </w:r>
      <w:r>
        <w:rPr>
          <w:rFonts w:hint="eastAsia" w:eastAsia="宋体" w:cs="Times New Roman"/>
          <w:b/>
          <w:bCs/>
          <w:color w:val="000000"/>
          <w:sz w:val="21"/>
          <w:szCs w:val="21"/>
          <w:highlight w:val="none"/>
          <w:lang w:val="en-US" w:eastAsia="zh-CN"/>
        </w:rPr>
        <w:t>招标</w:t>
      </w:r>
      <w:r>
        <w:rPr>
          <w:rFonts w:hint="eastAsia" w:cs="Times New Roman"/>
          <w:b/>
          <w:bCs/>
          <w:color w:val="000000"/>
          <w:sz w:val="21"/>
          <w:szCs w:val="21"/>
          <w:highlight w:val="none"/>
          <w:lang w:val="en-US" w:eastAsia="zh-CN"/>
        </w:rPr>
        <w:t>公告中应标文件编制的</w:t>
      </w:r>
      <w:r>
        <w:rPr>
          <w:rFonts w:hint="eastAsia" w:hAnsi="宋体" w:cs="Times New Roman"/>
          <w:b/>
          <w:bCs/>
          <w:color w:val="000000"/>
          <w:sz w:val="21"/>
          <w:szCs w:val="21"/>
          <w:highlight w:val="none"/>
          <w:lang w:val="en-US" w:eastAsia="zh-CN"/>
        </w:rPr>
        <w:t>资质文件</w:t>
      </w:r>
      <w:r>
        <w:rPr>
          <w:rFonts w:hint="eastAsia" w:ascii="宋体" w:hAnsi="宋体" w:eastAsia="宋体" w:cs="Times New Roman"/>
          <w:b/>
          <w:bCs/>
          <w:color w:val="000000"/>
          <w:sz w:val="21"/>
          <w:szCs w:val="21"/>
          <w:highlight w:val="none"/>
        </w:rPr>
        <w:t>中的</w:t>
      </w:r>
      <w:r>
        <w:rPr>
          <w:rFonts w:hint="eastAsia" w:hAnsi="宋体" w:cs="Times New Roman"/>
          <w:b/>
          <w:bCs/>
          <w:color w:val="000000"/>
          <w:sz w:val="21"/>
          <w:szCs w:val="21"/>
          <w:highlight w:val="none"/>
          <w:lang w:val="en-US" w:eastAsia="zh-CN"/>
        </w:rPr>
        <w:t>要求</w:t>
      </w:r>
      <w:r>
        <w:rPr>
          <w:rFonts w:hint="eastAsia" w:ascii="宋体" w:hAnsi="宋体" w:eastAsia="宋体" w:cs="Times New Roman"/>
          <w:b/>
          <w:bCs/>
          <w:color w:val="000000"/>
          <w:sz w:val="21"/>
          <w:szCs w:val="21"/>
          <w:highlight w:val="none"/>
          <w:lang w:val="en-US" w:eastAsia="zh-CN"/>
        </w:rPr>
        <w:t>准备资料</w:t>
      </w:r>
      <w:r>
        <w:rPr>
          <w:rFonts w:hint="eastAsia" w:eastAsia="宋体" w:cs="Times New Roman"/>
          <w:b/>
          <w:bCs/>
          <w:color w:val="000000"/>
          <w:sz w:val="21"/>
          <w:szCs w:val="21"/>
          <w:highlight w:val="none"/>
          <w:lang w:val="en-US" w:eastAsia="zh-CN"/>
        </w:rPr>
        <w:t>并</w:t>
      </w:r>
      <w:r>
        <w:rPr>
          <w:rFonts w:hint="eastAsia" w:ascii="宋体" w:hAnsi="宋体" w:eastAsia="宋体" w:cs="Times New Roman"/>
          <w:color w:val="000000"/>
          <w:sz w:val="21"/>
          <w:szCs w:val="21"/>
          <w:highlight w:val="none"/>
          <w:lang w:val="en-US" w:eastAsia="zh-CN"/>
        </w:rPr>
        <w:t>上传，资质审查通过即为报名</w:t>
      </w:r>
      <w:r>
        <w:rPr>
          <w:rFonts w:hint="eastAsia" w:eastAsia="宋体" w:cs="Times New Roman"/>
          <w:color w:val="000000"/>
          <w:sz w:val="21"/>
          <w:szCs w:val="21"/>
          <w:highlight w:val="none"/>
          <w:lang w:val="en-US" w:eastAsia="zh-CN"/>
        </w:rPr>
        <w:t>成功</w:t>
      </w:r>
      <w:r>
        <w:rPr>
          <w:rFonts w:hint="eastAsia" w:hAnsi="Courier New" w:eastAsia="宋体" w:cs="Times New Roman"/>
          <w:color w:val="000000"/>
          <w:sz w:val="21"/>
          <w:szCs w:val="21"/>
          <w:highlight w:val="none"/>
          <w:lang w:eastAsia="zh-CN"/>
        </w:rPr>
        <w:t>；</w:t>
      </w:r>
      <w:r>
        <w:rPr>
          <w:rFonts w:hint="eastAsia" w:ascii="宋体" w:hAnsi="Courier New" w:eastAsia="宋体" w:cs="Times New Roman"/>
          <w:color w:val="000000"/>
          <w:sz w:val="21"/>
          <w:szCs w:val="21"/>
          <w:highlight w:val="none"/>
        </w:rPr>
        <w:t>公示期间请尽快报名</w:t>
      </w:r>
      <w:r>
        <w:rPr>
          <w:rFonts w:hint="eastAsia" w:eastAsia="宋体" w:cs="宋体"/>
          <w:sz w:val="21"/>
          <w:szCs w:val="21"/>
          <w:highlight w:val="none"/>
        </w:rPr>
        <w:t>。</w:t>
      </w:r>
    </w:p>
    <w:p w14:paraId="6DC2B408">
      <w:pPr>
        <w:pStyle w:val="21"/>
        <w:numPr>
          <w:ilvl w:val="0"/>
          <w:numId w:val="5"/>
        </w:numPr>
        <w:ind w:left="425" w:leftChars="0" w:hanging="425" w:firstLineChars="0"/>
        <w:jc w:val="both"/>
        <w:rPr>
          <w:rFonts w:hint="eastAsia" w:ascii="宋体" w:hAnsi="Courier New" w:eastAsia="宋体" w:cs="Times New Roman"/>
          <w:highlight w:val="yellow"/>
          <w:lang w:val="en-US" w:eastAsia="zh-CN"/>
        </w:rPr>
      </w:pPr>
      <w:r>
        <w:rPr>
          <w:rFonts w:hint="eastAsia" w:ascii="宋体" w:hAnsi="Courier New" w:eastAsia="宋体" w:cs="Times New Roman"/>
          <w:b/>
          <w:bCs/>
          <w:highlight w:val="none"/>
          <w:lang w:val="en-US" w:eastAsia="zh-CN"/>
        </w:rPr>
        <w:t>应标截止时间</w:t>
      </w:r>
      <w:r>
        <w:rPr>
          <w:rFonts w:hint="eastAsia" w:cs="Times New Roman"/>
          <w:highlight w:val="none"/>
          <w:lang w:val="en-US" w:eastAsia="zh-CN"/>
        </w:rPr>
        <w:t>：</w:t>
      </w:r>
      <w:r>
        <w:rPr>
          <w:rFonts w:hint="eastAsia" w:ascii="宋体" w:hAnsi="Courier New" w:eastAsia="宋体" w:cs="Times New Roman"/>
          <w:color w:val="0000FF"/>
          <w:kern w:val="2"/>
          <w:sz w:val="21"/>
          <w:lang w:val="en-US" w:eastAsia="zh-CN" w:bidi="ar-SA"/>
        </w:rPr>
        <w:t>2026年</w:t>
      </w:r>
      <w:r>
        <w:rPr>
          <w:rFonts w:hint="eastAsia" w:cs="Times New Roman"/>
          <w:color w:val="0000FF"/>
          <w:kern w:val="2"/>
          <w:sz w:val="21"/>
          <w:lang w:val="en-US" w:eastAsia="zh-CN" w:bidi="ar-SA"/>
        </w:rPr>
        <w:t>9</w:t>
      </w:r>
      <w:r>
        <w:rPr>
          <w:rFonts w:hint="eastAsia" w:ascii="宋体" w:hAnsi="Courier New" w:eastAsia="宋体" w:cs="Times New Roman"/>
          <w:color w:val="0000FF"/>
          <w:kern w:val="2"/>
          <w:sz w:val="21"/>
          <w:lang w:val="en-US" w:eastAsia="zh-CN" w:bidi="ar-SA"/>
        </w:rPr>
        <w:t>月</w:t>
      </w:r>
      <w:r>
        <w:rPr>
          <w:rFonts w:hint="eastAsia" w:cs="Times New Roman"/>
          <w:color w:val="0000FF"/>
          <w:kern w:val="2"/>
          <w:sz w:val="21"/>
          <w:lang w:val="en-US" w:eastAsia="zh-CN" w:bidi="ar-SA"/>
        </w:rPr>
        <w:t xml:space="preserve"> 26 </w:t>
      </w:r>
      <w:r>
        <w:rPr>
          <w:rFonts w:hint="eastAsia" w:ascii="宋体" w:hAnsi="Courier New" w:eastAsia="宋体" w:cs="Times New Roman"/>
          <w:color w:val="0000FF"/>
          <w:kern w:val="2"/>
          <w:sz w:val="21"/>
          <w:lang w:val="en-US" w:eastAsia="zh-CN" w:bidi="ar-SA"/>
        </w:rPr>
        <w:t>日</w:t>
      </w:r>
      <w:r>
        <w:rPr>
          <w:rFonts w:hint="eastAsia" w:cs="Times New Roman"/>
          <w:color w:val="0000FF"/>
          <w:kern w:val="2"/>
          <w:sz w:val="21"/>
          <w:lang w:val="en-US" w:eastAsia="zh-CN" w:bidi="ar-SA"/>
        </w:rPr>
        <w:t>22</w:t>
      </w:r>
      <w:r>
        <w:rPr>
          <w:rFonts w:hint="eastAsia" w:ascii="宋体" w:hAnsi="Courier New" w:eastAsia="宋体" w:cs="Times New Roman"/>
          <w:color w:val="0000FF"/>
          <w:kern w:val="2"/>
          <w:sz w:val="21"/>
          <w:lang w:val="en-US" w:eastAsia="zh-CN" w:bidi="ar-SA"/>
        </w:rPr>
        <w:t>时00分00秒</w:t>
      </w:r>
    </w:p>
    <w:p w14:paraId="2521BCA0">
      <w:pPr>
        <w:pStyle w:val="21"/>
        <w:keepNext w:val="0"/>
        <w:keepLines w:val="0"/>
        <w:pageBreakBefore w:val="0"/>
        <w:widowControl w:val="0"/>
        <w:numPr>
          <w:ilvl w:val="0"/>
          <w:numId w:val="0"/>
        </w:numPr>
        <w:kinsoku/>
        <w:wordWrap/>
        <w:overflowPunct/>
        <w:topLinePunct w:val="0"/>
        <w:autoSpaceDE/>
        <w:autoSpaceDN/>
        <w:bidi w:val="0"/>
        <w:adjustRightInd/>
        <w:snapToGrid/>
        <w:ind w:leftChars="0" w:firstLine="422" w:firstLineChars="200"/>
        <w:jc w:val="both"/>
        <w:textAlignment w:val="auto"/>
        <w:rPr>
          <w:rFonts w:hint="default" w:ascii="宋体" w:hAnsi="Courier New" w:eastAsia="宋体" w:cs="Times New Roman"/>
          <w:highlight w:val="none"/>
          <w:lang w:val="en-US" w:eastAsia="zh-CN"/>
        </w:rPr>
      </w:pPr>
      <w:r>
        <w:rPr>
          <w:rFonts w:hint="eastAsia" w:eastAsia="宋体" w:cs="宋体"/>
          <w:b/>
          <w:bCs/>
          <w:highlight w:val="none"/>
        </w:rPr>
        <w:t>注：请务必在应标截止时间前完成注册及应标操作，注册审核需2-4日，应标截止时间精确到秒，逾期将无法应标。请自行掌握时间，避免无法应标。</w:t>
      </w:r>
    </w:p>
    <w:p w14:paraId="03A7FB48">
      <w:pPr>
        <w:pStyle w:val="7"/>
        <w:spacing w:line="360" w:lineRule="auto"/>
        <w:rPr>
          <w:rFonts w:hint="eastAsia" w:ascii="黑体" w:eastAsia="黑体"/>
          <w:b/>
          <w:bCs/>
          <w:sz w:val="28"/>
        </w:rPr>
      </w:pPr>
      <w:r>
        <w:rPr>
          <w:rFonts w:hint="eastAsia" w:ascii="黑体" w:eastAsia="黑体"/>
          <w:b/>
          <w:bCs/>
          <w:sz w:val="28"/>
        </w:rPr>
        <w:t>六、投标须知</w:t>
      </w:r>
    </w:p>
    <w:p w14:paraId="0E6E3488">
      <w:pPr>
        <w:pStyle w:val="7"/>
        <w:spacing w:line="360" w:lineRule="auto"/>
        <w:ind w:firstLine="422" w:firstLineChars="200"/>
        <w:rPr>
          <w:rFonts w:hint="eastAsia"/>
          <w:b/>
        </w:rPr>
      </w:pPr>
      <w:r>
        <w:rPr>
          <w:rFonts w:hint="eastAsia"/>
          <w:b/>
        </w:rPr>
        <w:t>1.合格投标人：</w:t>
      </w:r>
    </w:p>
    <w:p w14:paraId="6964FF6B">
      <w:pPr>
        <w:pStyle w:val="7"/>
        <w:spacing w:line="360" w:lineRule="auto"/>
        <w:ind w:firstLine="420" w:firstLineChars="200"/>
        <w:rPr>
          <w:rFonts w:hint="eastAsia"/>
          <w:b/>
          <w:bCs w:val="0"/>
          <w:color w:val="auto"/>
          <w:highlight w:val="none"/>
          <w:lang w:val="en-US" w:eastAsia="zh-CN"/>
        </w:rPr>
      </w:pPr>
      <w:r>
        <w:rPr>
          <w:rFonts w:hint="eastAsia"/>
          <w:b w:val="0"/>
          <w:bCs/>
          <w:color w:val="auto"/>
        </w:rPr>
        <w:t>1、必</w:t>
      </w:r>
      <w:r>
        <w:rPr>
          <w:rFonts w:hint="eastAsia"/>
          <w:b w:val="0"/>
          <w:bCs/>
          <w:color w:val="auto"/>
          <w:highlight w:val="none"/>
        </w:rPr>
        <w:t>须具有</w:t>
      </w:r>
      <w:r>
        <w:rPr>
          <w:rFonts w:hint="eastAsia"/>
          <w:b/>
          <w:bCs w:val="0"/>
          <w:color w:val="auto"/>
          <w:highlight w:val="none"/>
        </w:rPr>
        <w:t>电气设备维修</w:t>
      </w:r>
      <w:r>
        <w:rPr>
          <w:rFonts w:hint="eastAsia"/>
          <w:b/>
          <w:bCs w:val="0"/>
          <w:color w:val="auto"/>
          <w:highlight w:val="none"/>
          <w:lang w:val="en-US" w:eastAsia="zh-CN"/>
        </w:rPr>
        <w:t>相关营业许可范围。</w:t>
      </w:r>
    </w:p>
    <w:p w14:paraId="3B41468C">
      <w:pPr>
        <w:pStyle w:val="7"/>
        <w:spacing w:line="360" w:lineRule="auto"/>
        <w:ind w:firstLine="420" w:firstLineChars="200"/>
        <w:rPr>
          <w:rFonts w:hint="eastAsia"/>
          <w:b w:val="0"/>
          <w:bCs/>
          <w:color w:val="auto"/>
        </w:rPr>
      </w:pPr>
      <w:r>
        <w:rPr>
          <w:rFonts w:hint="eastAsia"/>
          <w:b w:val="0"/>
          <w:bCs/>
          <w:color w:val="auto"/>
        </w:rPr>
        <w:t>2、公司</w:t>
      </w:r>
      <w:r>
        <w:rPr>
          <w:rFonts w:hint="eastAsia"/>
          <w:b w:val="0"/>
          <w:bCs/>
          <w:color w:val="auto"/>
          <w:lang w:val="en-US" w:eastAsia="zh-CN"/>
        </w:rPr>
        <w:t>成立三年以上</w:t>
      </w:r>
      <w:r>
        <w:rPr>
          <w:rFonts w:hint="eastAsia"/>
          <w:b w:val="0"/>
          <w:bCs/>
          <w:color w:val="auto"/>
        </w:rPr>
        <w:t>（以营业执照成立日期到开标当日满三年为准）</w:t>
      </w:r>
      <w:r>
        <w:rPr>
          <w:rFonts w:hint="eastAsia"/>
          <w:b w:val="0"/>
          <w:bCs/>
          <w:color w:val="auto"/>
          <w:lang w:eastAsia="zh-CN"/>
        </w:rPr>
        <w:t>，</w:t>
      </w:r>
      <w:r>
        <w:rPr>
          <w:rFonts w:hint="eastAsia"/>
          <w:b w:val="0"/>
          <w:bCs/>
          <w:color w:val="auto"/>
          <w:lang w:val="en-US" w:eastAsia="zh-CN"/>
        </w:rPr>
        <w:t>且</w:t>
      </w:r>
      <w:r>
        <w:rPr>
          <w:rFonts w:hint="eastAsia"/>
          <w:b w:val="0"/>
          <w:bCs/>
          <w:color w:val="auto"/>
        </w:rPr>
        <w:t>注册资本不少于</w:t>
      </w:r>
      <w:r>
        <w:rPr>
          <w:rFonts w:hint="eastAsia"/>
          <w:b w:val="0"/>
          <w:bCs/>
          <w:color w:val="auto"/>
          <w:lang w:val="en-US" w:eastAsia="zh-CN"/>
        </w:rPr>
        <w:t>伍</w:t>
      </w:r>
      <w:r>
        <w:rPr>
          <w:rFonts w:hint="eastAsia"/>
          <w:b w:val="0"/>
          <w:bCs/>
          <w:color w:val="auto"/>
        </w:rPr>
        <w:t>佰万元（人民币）。</w:t>
      </w:r>
    </w:p>
    <w:p w14:paraId="38596529">
      <w:pPr>
        <w:pStyle w:val="7"/>
        <w:spacing w:line="360" w:lineRule="auto"/>
        <w:ind w:firstLine="420" w:firstLineChars="200"/>
        <w:rPr>
          <w:rFonts w:hint="eastAsia"/>
          <w:b w:val="0"/>
          <w:bCs/>
          <w:color w:val="auto"/>
        </w:rPr>
      </w:pPr>
      <w:r>
        <w:rPr>
          <w:rFonts w:hint="eastAsia"/>
          <w:b w:val="0"/>
          <w:bCs/>
          <w:color w:val="auto"/>
        </w:rPr>
        <w:t>3、</w:t>
      </w:r>
      <w:r>
        <w:rPr>
          <w:rFonts w:hint="default" w:ascii="Segoe UI" w:hAnsi="Segoe UI" w:eastAsia="Segoe UI" w:cs="Segoe UI"/>
          <w:i w:val="0"/>
          <w:iCs w:val="0"/>
          <w:caps w:val="0"/>
          <w:color w:val="auto"/>
          <w:spacing w:val="0"/>
          <w:sz w:val="21"/>
          <w:szCs w:val="21"/>
        </w:rPr>
        <w:t>满足技术、质量、资金等要求，</w:t>
      </w:r>
      <w:r>
        <w:rPr>
          <w:rFonts w:hint="eastAsia"/>
          <w:b w:val="0"/>
          <w:bCs/>
          <w:color w:val="auto"/>
        </w:rPr>
        <w:t>公司财务良好，经营稳定，有全面履约的能力</w:t>
      </w:r>
      <w:r>
        <w:rPr>
          <w:rFonts w:hint="eastAsia"/>
          <w:b w:val="0"/>
          <w:bCs/>
          <w:color w:val="auto"/>
          <w:lang w:eastAsia="zh-CN"/>
        </w:rPr>
        <w:t>，</w:t>
      </w:r>
      <w:r>
        <w:rPr>
          <w:rFonts w:hint="default" w:ascii="Segoe UI" w:hAnsi="Segoe UI" w:eastAsia="Segoe UI" w:cs="Segoe UI"/>
          <w:i w:val="0"/>
          <w:iCs w:val="0"/>
          <w:caps w:val="0"/>
          <w:color w:val="auto"/>
          <w:spacing w:val="0"/>
          <w:sz w:val="21"/>
          <w:szCs w:val="21"/>
        </w:rPr>
        <w:t>能提供相关信用等级和完税证明</w:t>
      </w:r>
      <w:r>
        <w:rPr>
          <w:rFonts w:hint="eastAsia"/>
          <w:b w:val="0"/>
          <w:bCs/>
          <w:color w:val="auto"/>
        </w:rPr>
        <w:t>。</w:t>
      </w:r>
    </w:p>
    <w:p w14:paraId="561015B4">
      <w:pPr>
        <w:pStyle w:val="7"/>
        <w:spacing w:line="360" w:lineRule="auto"/>
        <w:ind w:firstLine="420" w:firstLineChars="200"/>
        <w:rPr>
          <w:rFonts w:hint="eastAsia"/>
          <w:b w:val="0"/>
          <w:bCs/>
          <w:color w:val="auto"/>
        </w:rPr>
      </w:pPr>
      <w:r>
        <w:rPr>
          <w:rFonts w:hint="eastAsia"/>
          <w:b w:val="0"/>
          <w:bCs/>
          <w:color w:val="auto"/>
        </w:rPr>
        <w:t>4、投标单位之间必须具有充分的竞争关系。</w:t>
      </w:r>
    </w:p>
    <w:p w14:paraId="19794244">
      <w:pPr>
        <w:pStyle w:val="7"/>
        <w:spacing w:line="360" w:lineRule="auto"/>
        <w:ind w:firstLine="420" w:firstLineChars="200"/>
        <w:rPr>
          <w:rFonts w:hint="eastAsia"/>
          <w:b w:val="0"/>
          <w:bCs/>
          <w:color w:val="auto"/>
        </w:rPr>
      </w:pPr>
      <w:r>
        <w:rPr>
          <w:rFonts w:hint="eastAsia"/>
          <w:b w:val="0"/>
          <w:bCs/>
          <w:color w:val="auto"/>
          <w:lang w:val="en-US" w:eastAsia="zh-CN"/>
        </w:rPr>
        <w:t>5、</w:t>
      </w:r>
      <w:r>
        <w:rPr>
          <w:rFonts w:hint="eastAsia"/>
          <w:b w:val="0"/>
          <w:bCs/>
          <w:color w:val="auto"/>
        </w:rPr>
        <w:t>投标单位未在“信用中国”网站（www.creditchina.gov.cn）或各级信用信息共享平台列入失信被执行人名单</w:t>
      </w:r>
      <w:r>
        <w:rPr>
          <w:rFonts w:hint="eastAsia"/>
          <w:b w:val="0"/>
          <w:bCs/>
          <w:color w:val="auto"/>
          <w:lang w:eastAsia="zh-CN"/>
        </w:rPr>
        <w:t>，</w:t>
      </w:r>
      <w:r>
        <w:rPr>
          <w:rFonts w:hint="default" w:ascii="Segoe UI" w:hAnsi="Segoe UI" w:eastAsia="Segoe UI" w:cs="Segoe UI"/>
          <w:i w:val="0"/>
          <w:iCs w:val="0"/>
          <w:caps w:val="0"/>
          <w:color w:val="auto"/>
          <w:spacing w:val="0"/>
          <w:sz w:val="21"/>
          <w:szCs w:val="21"/>
        </w:rPr>
        <w:t>无行政处罚及失信记录等信息</w:t>
      </w:r>
      <w:r>
        <w:rPr>
          <w:rFonts w:hint="eastAsia" w:ascii="Segoe UI" w:hAnsi="Segoe UI" w:eastAsia="宋体" w:cs="Segoe UI"/>
          <w:i w:val="0"/>
          <w:iCs w:val="0"/>
          <w:caps w:val="0"/>
          <w:color w:val="auto"/>
          <w:spacing w:val="0"/>
          <w:sz w:val="21"/>
          <w:szCs w:val="21"/>
          <w:lang w:eastAsia="zh-CN"/>
        </w:rPr>
        <w:t>。</w:t>
      </w:r>
      <w:r>
        <w:rPr>
          <w:rFonts w:hint="eastAsia"/>
          <w:b w:val="0"/>
          <w:bCs/>
          <w:color w:val="auto"/>
        </w:rPr>
        <w:t>信用信息共享平台包括但不限于“国家企业信用信息公示系统”、“中国执行信息公开网”、“天眼查”“裁判文书网”等信息平台。</w:t>
      </w:r>
    </w:p>
    <w:p w14:paraId="28844390">
      <w:pPr>
        <w:pStyle w:val="7"/>
        <w:spacing w:line="360" w:lineRule="auto"/>
        <w:ind w:left="420" w:leftChars="200" w:firstLine="0" w:firstLineChars="0"/>
        <w:rPr>
          <w:rFonts w:hint="eastAsia"/>
          <w:b w:val="0"/>
          <w:bCs/>
          <w:color w:val="auto"/>
        </w:rPr>
      </w:pPr>
      <w:r>
        <w:rPr>
          <w:rFonts w:hint="eastAsia"/>
          <w:b w:val="0"/>
          <w:bCs/>
          <w:color w:val="auto"/>
          <w:lang w:val="en-US" w:eastAsia="zh-CN"/>
        </w:rPr>
        <w:t>6、</w:t>
      </w:r>
      <w:r>
        <w:rPr>
          <w:rFonts w:hint="default" w:ascii="Segoe UI" w:hAnsi="Segoe UI" w:eastAsia="Segoe UI" w:cs="Segoe UI"/>
          <w:i w:val="0"/>
          <w:iCs w:val="0"/>
          <w:caps w:val="0"/>
          <w:color w:val="auto"/>
          <w:spacing w:val="0"/>
          <w:sz w:val="21"/>
          <w:szCs w:val="21"/>
        </w:rPr>
        <w:t>没有被公司列入黑名单</w:t>
      </w:r>
      <w:r>
        <w:rPr>
          <w:rFonts w:hint="eastAsia" w:ascii="Segoe UI" w:hAnsi="Segoe UI" w:eastAsia="宋体" w:cs="Segoe UI"/>
          <w:i w:val="0"/>
          <w:iCs w:val="0"/>
          <w:caps w:val="0"/>
          <w:color w:val="auto"/>
          <w:spacing w:val="0"/>
          <w:sz w:val="21"/>
          <w:szCs w:val="21"/>
          <w:lang w:eastAsia="zh-CN"/>
        </w:rPr>
        <w:t>，</w:t>
      </w:r>
      <w:r>
        <w:rPr>
          <w:rFonts w:hint="eastAsia"/>
          <w:b w:val="0"/>
          <w:bCs/>
          <w:color w:val="auto"/>
        </w:rPr>
        <w:t>在社会上和重汽集团内的其它招标过程中没有不良行为记录</w:t>
      </w:r>
      <w:r>
        <w:rPr>
          <w:rFonts w:hint="eastAsia"/>
          <w:b w:val="0"/>
          <w:bCs/>
          <w:color w:val="auto"/>
          <w:lang w:eastAsia="zh-CN"/>
        </w:rPr>
        <w:t>。</w:t>
      </w:r>
      <w:r>
        <w:rPr>
          <w:rFonts w:hint="eastAsia"/>
          <w:b w:val="0"/>
          <w:bCs/>
          <w:color w:val="auto"/>
        </w:rPr>
        <w:br w:type="textWrapping"/>
      </w:r>
      <w:r>
        <w:rPr>
          <w:rFonts w:hint="eastAsia"/>
          <w:b w:val="0"/>
          <w:bCs/>
          <w:color w:val="auto"/>
          <w:lang w:val="en-US" w:eastAsia="zh-CN"/>
        </w:rPr>
        <w:t>7、</w:t>
      </w:r>
      <w:r>
        <w:rPr>
          <w:rFonts w:hint="eastAsia"/>
          <w:b w:val="0"/>
          <w:bCs/>
          <w:color w:val="auto"/>
        </w:rPr>
        <w:t>投标单位的直接或间接股东、法定代表人、董事、监事、高管非重汽员工及其亲属。</w:t>
      </w:r>
    </w:p>
    <w:p w14:paraId="67C64CB0">
      <w:pPr>
        <w:pStyle w:val="7"/>
        <w:spacing w:line="360" w:lineRule="auto"/>
        <w:ind w:left="420" w:leftChars="200" w:firstLine="0" w:firstLineChars="0"/>
        <w:rPr>
          <w:rFonts w:hint="eastAsia"/>
          <w:b w:val="0"/>
          <w:bCs/>
          <w:color w:val="auto"/>
        </w:rPr>
      </w:pPr>
      <w:r>
        <w:rPr>
          <w:rFonts w:hint="eastAsia"/>
          <w:b w:val="0"/>
          <w:bCs/>
          <w:color w:val="auto"/>
          <w:lang w:val="en-US" w:eastAsia="zh-CN"/>
        </w:rPr>
        <w:t>8</w:t>
      </w:r>
      <w:r>
        <w:rPr>
          <w:rFonts w:hint="eastAsia"/>
          <w:b w:val="0"/>
          <w:bCs/>
          <w:color w:val="auto"/>
        </w:rPr>
        <w:t>、</w:t>
      </w:r>
      <w:r>
        <w:rPr>
          <w:rFonts w:hint="default" w:ascii="Segoe UI" w:hAnsi="Segoe UI" w:eastAsia="Segoe UI" w:cs="Segoe UI"/>
          <w:i w:val="0"/>
          <w:iCs w:val="0"/>
          <w:caps w:val="0"/>
          <w:color w:val="auto"/>
          <w:spacing w:val="0"/>
          <w:sz w:val="21"/>
          <w:szCs w:val="21"/>
        </w:rPr>
        <w:t>如</w:t>
      </w:r>
      <w:r>
        <w:rPr>
          <w:rFonts w:hint="eastAsia" w:ascii="Segoe UI" w:hAnsi="Segoe UI" w:eastAsia="宋体" w:cs="Segoe UI"/>
          <w:i w:val="0"/>
          <w:iCs w:val="0"/>
          <w:caps w:val="0"/>
          <w:color w:val="auto"/>
          <w:spacing w:val="0"/>
          <w:sz w:val="21"/>
          <w:szCs w:val="21"/>
          <w:lang w:val="en-US" w:eastAsia="zh-CN"/>
        </w:rPr>
        <w:t>投标单位</w:t>
      </w:r>
      <w:r>
        <w:rPr>
          <w:rFonts w:hint="default" w:ascii="Segoe UI" w:hAnsi="Segoe UI" w:eastAsia="Segoe UI" w:cs="Segoe UI"/>
          <w:i w:val="0"/>
          <w:iCs w:val="0"/>
          <w:caps w:val="0"/>
          <w:color w:val="auto"/>
          <w:spacing w:val="0"/>
          <w:sz w:val="21"/>
          <w:szCs w:val="21"/>
        </w:rPr>
        <w:t>因特殊原因不能提供审计报告或财务报表的，须提供加盖公章的情况说明。</w:t>
      </w:r>
      <w:r>
        <w:rPr>
          <w:rFonts w:hint="default" w:ascii="Segoe UI" w:hAnsi="Segoe UI" w:eastAsia="Segoe UI" w:cs="Segoe UI"/>
          <w:i w:val="0"/>
          <w:iCs w:val="0"/>
          <w:caps w:val="0"/>
          <w:color w:val="auto"/>
          <w:spacing w:val="0"/>
          <w:sz w:val="21"/>
          <w:szCs w:val="21"/>
        </w:rPr>
        <w:br w:type="textWrapping"/>
      </w:r>
      <w:r>
        <w:rPr>
          <w:rFonts w:hint="eastAsia"/>
          <w:b w:val="0"/>
          <w:bCs/>
          <w:color w:val="auto"/>
          <w:lang w:val="en-US" w:eastAsia="zh-CN"/>
        </w:rPr>
        <w:t>9、</w:t>
      </w:r>
      <w:r>
        <w:rPr>
          <w:rFonts w:hint="eastAsia"/>
          <w:b w:val="0"/>
          <w:bCs/>
          <w:color w:val="auto"/>
        </w:rPr>
        <w:t>不接受联合体投标。</w:t>
      </w:r>
    </w:p>
    <w:p w14:paraId="45A44FDB">
      <w:pPr>
        <w:pStyle w:val="7"/>
        <w:spacing w:line="360" w:lineRule="auto"/>
        <w:ind w:firstLine="420" w:firstLineChars="200"/>
        <w:rPr>
          <w:rFonts w:hint="eastAsia"/>
          <w:b w:val="0"/>
          <w:bCs/>
          <w:color w:val="auto"/>
        </w:rPr>
      </w:pPr>
      <w:r>
        <w:rPr>
          <w:rFonts w:hint="eastAsia"/>
          <w:b w:val="0"/>
          <w:bCs/>
          <w:color w:val="auto"/>
        </w:rPr>
        <w:t>10、必须具有</w:t>
      </w:r>
      <w:r>
        <w:rPr>
          <w:rFonts w:hint="eastAsia"/>
          <w:b w:val="0"/>
          <w:bCs/>
          <w:color w:val="auto"/>
          <w:lang w:val="en-US" w:eastAsia="zh-CN"/>
        </w:rPr>
        <w:t>2</w:t>
      </w:r>
      <w:r>
        <w:rPr>
          <w:rFonts w:hint="eastAsia"/>
          <w:b w:val="0"/>
          <w:bCs/>
          <w:color w:val="auto"/>
        </w:rPr>
        <w:t>年以上相关工作经历和成功的类似案例。</w:t>
      </w:r>
    </w:p>
    <w:p w14:paraId="20127950">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20" w:leftChars="200" w:firstLine="0" w:firstLineChars="0"/>
        <w:textAlignment w:val="auto"/>
        <w:rPr>
          <w:rFonts w:hint="eastAsia" w:hAnsi="宋体" w:cs="宋体"/>
          <w:b w:val="0"/>
          <w:bCs w:val="0"/>
          <w:strike w:val="0"/>
          <w:dstrike w:val="0"/>
          <w:color w:val="auto"/>
          <w:sz w:val="21"/>
          <w:szCs w:val="21"/>
          <w:highlight w:val="none"/>
          <w:lang w:val="en-US" w:eastAsia="zh-CN"/>
        </w:rPr>
      </w:pPr>
      <w:r>
        <w:rPr>
          <w:rFonts w:hint="eastAsia"/>
          <w:b w:val="0"/>
          <w:bCs/>
          <w:color w:val="auto"/>
          <w:lang w:val="en-US" w:eastAsia="zh-CN"/>
        </w:rPr>
        <w:t>11、</w:t>
      </w:r>
      <w:r>
        <w:rPr>
          <w:rFonts w:hint="eastAsia" w:hAnsi="宋体" w:cs="宋体"/>
          <w:b w:val="0"/>
          <w:bCs w:val="0"/>
          <w:strike w:val="0"/>
          <w:dstrike w:val="0"/>
          <w:color w:val="auto"/>
          <w:sz w:val="21"/>
          <w:szCs w:val="21"/>
          <w:highlight w:val="none"/>
          <w:lang w:val="en-US" w:eastAsia="zh-CN"/>
        </w:rPr>
        <w:t>其他注意事项：</w:t>
      </w:r>
    </w:p>
    <w:p w14:paraId="0FA88137">
      <w:pPr>
        <w:pStyle w:val="21"/>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strike w:val="0"/>
          <w:dstrike w:val="0"/>
          <w:color w:val="auto"/>
          <w:sz w:val="21"/>
          <w:szCs w:val="21"/>
          <w:highlight w:val="none"/>
          <w:lang w:val="en-US" w:eastAsia="zh-CN"/>
        </w:rPr>
      </w:pPr>
      <w:r>
        <w:rPr>
          <w:rFonts w:hint="eastAsia" w:ascii="宋体" w:hAnsi="宋体" w:eastAsia="宋体" w:cs="宋体"/>
          <w:b w:val="0"/>
          <w:bCs w:val="0"/>
          <w:strike w:val="0"/>
          <w:dstrike w:val="0"/>
          <w:color w:val="auto"/>
          <w:sz w:val="21"/>
          <w:szCs w:val="21"/>
          <w:highlight w:val="none"/>
          <w:lang w:val="en-US" w:eastAsia="zh-CN"/>
        </w:rPr>
        <w:t>（1）应签订“安全协议书”明确双方安全责任与义务；严禁拍照；</w:t>
      </w:r>
    </w:p>
    <w:p w14:paraId="3A967F82">
      <w:pPr>
        <w:pStyle w:val="77"/>
        <w:keepNext w:val="0"/>
        <w:keepLines w:val="0"/>
        <w:pageBreakBefore w:val="0"/>
        <w:widowControl w:val="0"/>
        <w:numPr>
          <w:ilvl w:val="0"/>
          <w:numId w:val="0"/>
        </w:numPr>
        <w:kinsoku/>
        <w:wordWrap/>
        <w:overflowPunct/>
        <w:topLinePunct w:val="0"/>
        <w:autoSpaceDE/>
        <w:autoSpaceDN/>
        <w:bidi w:val="0"/>
        <w:adjustRightInd/>
        <w:snapToGrid/>
        <w:ind w:leftChars="0" w:firstLine="420" w:firstLineChars="200"/>
        <w:textAlignment w:val="auto"/>
        <w:rPr>
          <w:rFonts w:hint="default"/>
          <w:b w:val="0"/>
          <w:bCs w:val="0"/>
          <w:strike w:val="0"/>
          <w:dstrike w:val="0"/>
          <w:color w:val="auto"/>
          <w:sz w:val="21"/>
          <w:szCs w:val="21"/>
          <w:highlight w:val="none"/>
          <w:lang w:val="en-US"/>
        </w:rPr>
      </w:pPr>
      <w:r>
        <w:rPr>
          <w:rFonts w:hint="eastAsia" w:ascii="宋体" w:hAnsi="宋体" w:eastAsia="宋体" w:cs="宋体"/>
          <w:b w:val="0"/>
          <w:bCs w:val="0"/>
          <w:strike w:val="0"/>
          <w:dstrike w:val="0"/>
          <w:color w:val="auto"/>
          <w:sz w:val="21"/>
          <w:szCs w:val="21"/>
          <w:highlight w:val="none"/>
          <w:lang w:val="en-US" w:eastAsia="zh-CN"/>
        </w:rPr>
        <w:t>（2）维修队伍中主要作业人员必须具有合规的特种作业人员证；危险作业（登高、动火、临时线等）应经审批后实施。</w:t>
      </w:r>
    </w:p>
    <w:p w14:paraId="1DB4162C">
      <w:pPr>
        <w:pStyle w:val="5"/>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kern w:val="2"/>
          <w:sz w:val="21"/>
          <w:lang w:val="en-US" w:eastAsia="zh-CN" w:bidi="ar-SA"/>
        </w:rPr>
      </w:pPr>
      <w:r>
        <w:rPr>
          <w:rFonts w:hint="eastAsia" w:ascii="宋体" w:hAnsi="宋体" w:eastAsia="宋体" w:cs="宋体"/>
          <w:b w:val="0"/>
          <w:bCs w:val="0"/>
          <w:strike w:val="0"/>
          <w:dstrike w:val="0"/>
          <w:color w:val="auto"/>
          <w:sz w:val="21"/>
          <w:szCs w:val="21"/>
          <w:highlight w:val="none"/>
          <w:lang w:val="en-US" w:eastAsia="zh-CN"/>
        </w:rPr>
        <w:t>（3）</w:t>
      </w:r>
      <w:r>
        <w:rPr>
          <w:rFonts w:hint="eastAsia" w:ascii="宋体" w:hAnsi="宋体" w:eastAsia="宋体" w:cs="宋体"/>
          <w:color w:val="auto"/>
          <w:kern w:val="2"/>
          <w:sz w:val="21"/>
          <w:lang w:val="en-US" w:eastAsia="zh-CN" w:bidi="ar-SA"/>
        </w:rPr>
        <w:t>本项目严禁转包行为，如发现转包行为，招标人可终止合同，投标方将承担一切损失及相关法律责任。</w:t>
      </w:r>
    </w:p>
    <w:p w14:paraId="1B2DDCC4">
      <w:pPr>
        <w:pStyle w:val="5"/>
        <w:keepNext w:val="0"/>
        <w:keepLines w:val="0"/>
        <w:pageBreakBefore w:val="0"/>
        <w:widowControl w:val="0"/>
        <w:kinsoku/>
        <w:wordWrap/>
        <w:overflowPunct/>
        <w:topLinePunct w:val="0"/>
        <w:bidi w:val="0"/>
        <w:snapToGrid/>
        <w:spacing w:line="360" w:lineRule="auto"/>
        <w:ind w:firstLine="420" w:firstLineChars="200"/>
        <w:textAlignment w:val="auto"/>
        <w:rPr>
          <w:rFonts w:hint="eastAsia" w:ascii="宋体" w:hAnsi="宋体" w:eastAsia="宋体" w:cs="宋体"/>
          <w:color w:val="auto"/>
          <w:kern w:val="2"/>
          <w:sz w:val="21"/>
          <w:szCs w:val="20"/>
          <w:lang w:val="en-US" w:eastAsia="zh-CN" w:bidi="ar-SA"/>
        </w:rPr>
      </w:pPr>
      <w:r>
        <w:rPr>
          <w:rFonts w:hint="eastAsia" w:ascii="宋体" w:hAnsi="宋体" w:eastAsia="宋体" w:cs="宋体"/>
          <w:color w:val="auto"/>
          <w:kern w:val="2"/>
          <w:sz w:val="21"/>
          <w:szCs w:val="20"/>
          <w:lang w:val="en-US" w:eastAsia="zh-CN" w:bidi="ar-SA"/>
        </w:rPr>
        <w:t>（4）严格限制分包。中标后不准分包，否则招标人可终止合同，投标方将承担一切损失及相关法律责任。</w:t>
      </w:r>
    </w:p>
    <w:p w14:paraId="67FCE54A">
      <w:pPr>
        <w:keepNext w:val="0"/>
        <w:keepLines w:val="0"/>
        <w:pageBreakBefore w:val="0"/>
        <w:widowControl w:val="0"/>
        <w:kinsoku/>
        <w:wordWrap/>
        <w:overflowPunct/>
        <w:topLinePunct w:val="0"/>
        <w:bidi w:val="0"/>
        <w:snapToGrid/>
        <w:spacing w:line="360" w:lineRule="auto"/>
        <w:ind w:firstLine="420" w:firstLineChars="200"/>
        <w:textAlignment w:val="auto"/>
        <w:rPr>
          <w:rFonts w:hint="eastAsia" w:eastAsia="宋体"/>
          <w:color w:val="auto"/>
          <w:sz w:val="21"/>
          <w:szCs w:val="21"/>
          <w:lang w:eastAsia="zh-CN"/>
        </w:rPr>
      </w:pPr>
      <w:r>
        <w:rPr>
          <w:rFonts w:hint="eastAsia"/>
          <w:sz w:val="21"/>
          <w:szCs w:val="21"/>
          <w:lang w:val="en-US" w:eastAsia="zh-CN"/>
        </w:rPr>
        <w:t>（5）</w:t>
      </w:r>
      <w:r>
        <w:rPr>
          <w:rFonts w:hint="eastAsia"/>
          <w:sz w:val="21"/>
          <w:szCs w:val="21"/>
        </w:rPr>
        <w:t>投标方</w:t>
      </w:r>
      <w:r>
        <w:rPr>
          <w:rFonts w:hint="eastAsia"/>
          <w:sz w:val="21"/>
          <w:szCs w:val="21"/>
          <w:lang w:val="en-US" w:eastAsia="zh-CN"/>
        </w:rPr>
        <w:t>需</w:t>
      </w:r>
      <w:r>
        <w:rPr>
          <w:rFonts w:hint="eastAsia"/>
          <w:sz w:val="21"/>
          <w:szCs w:val="21"/>
        </w:rPr>
        <w:t>对项目现场和周边环境进行现场考察，以获取与本维修项目投标有关所有资料。考察现场的费用由投标方自己承担；勘察期间所发生的人身伤害及财产损失由投标方自己负责。</w:t>
      </w:r>
    </w:p>
    <w:p w14:paraId="7A9C580B">
      <w:pPr>
        <w:pStyle w:val="77"/>
        <w:keepNext w:val="0"/>
        <w:keepLines w:val="0"/>
        <w:pageBreakBefore w:val="0"/>
        <w:widowControl w:val="0"/>
        <w:numPr>
          <w:ilvl w:val="0"/>
          <w:numId w:val="0"/>
        </w:numPr>
        <w:kinsoku/>
        <w:wordWrap/>
        <w:overflowPunct/>
        <w:topLinePunct w:val="0"/>
        <w:autoSpaceDE/>
        <w:autoSpaceDN/>
        <w:bidi w:val="0"/>
        <w:adjustRightInd/>
        <w:snapToGrid/>
        <w:ind w:firstLine="420" w:firstLineChars="200"/>
        <w:textAlignment w:val="auto"/>
        <w:rPr>
          <w:rFonts w:hint="eastAsia" w:cs="Times New Roman"/>
          <w:b w:val="0"/>
          <w:bCs w:val="0"/>
          <w:strike w:val="0"/>
          <w:dstrike w:val="0"/>
          <w:color w:val="auto"/>
          <w:sz w:val="21"/>
          <w:szCs w:val="21"/>
          <w:highlight w:val="none"/>
          <w:lang w:val="en-US" w:eastAsia="zh-CN"/>
        </w:rPr>
      </w:pPr>
      <w:r>
        <w:rPr>
          <w:rFonts w:hint="eastAsia"/>
          <w:b w:val="0"/>
          <w:bCs w:val="0"/>
          <w:strike w:val="0"/>
          <w:dstrike w:val="0"/>
          <w:color w:val="auto"/>
          <w:sz w:val="21"/>
          <w:szCs w:val="21"/>
          <w:highlight w:val="none"/>
          <w:lang w:val="en-US" w:eastAsia="zh-CN"/>
        </w:rPr>
        <w:t>（6）投标人</w:t>
      </w:r>
      <w:r>
        <w:rPr>
          <w:rFonts w:hint="eastAsia"/>
          <w:b w:val="0"/>
          <w:bCs w:val="0"/>
          <w:strike w:val="0"/>
          <w:dstrike w:val="0"/>
          <w:color w:val="auto"/>
          <w:sz w:val="21"/>
          <w:szCs w:val="21"/>
          <w:highlight w:val="none"/>
        </w:rPr>
        <w:t>是招标货物的制造商或制造商授权的经销商；一个制造商对同一品牌同一型号的货物,仅能委托一个代理商参加投标</w:t>
      </w:r>
      <w:r>
        <w:rPr>
          <w:rFonts w:hint="eastAsia"/>
          <w:b w:val="0"/>
          <w:bCs w:val="0"/>
          <w:strike w:val="0"/>
          <w:dstrike w:val="0"/>
          <w:color w:val="auto"/>
          <w:sz w:val="21"/>
          <w:szCs w:val="21"/>
          <w:highlight w:val="none"/>
          <w:lang w:eastAsia="zh-CN"/>
        </w:rPr>
        <w:t>。</w:t>
      </w:r>
      <w:r>
        <w:rPr>
          <w:rFonts w:hint="eastAsia"/>
          <w:b w:val="0"/>
          <w:bCs w:val="0"/>
          <w:color w:val="auto"/>
          <w:sz w:val="21"/>
          <w:szCs w:val="21"/>
        </w:rPr>
        <w:t>如为代理商投标，需获得生产厂家正式授权，提供授权书原件，保证提供原厂售后服务并提供原厂售后服务承诺书原件</w:t>
      </w:r>
      <w:r>
        <w:rPr>
          <w:rFonts w:hint="eastAsia"/>
          <w:b w:val="0"/>
          <w:bCs w:val="0"/>
          <w:color w:val="auto"/>
          <w:sz w:val="21"/>
          <w:szCs w:val="21"/>
          <w:lang w:eastAsia="zh-CN"/>
        </w:rPr>
        <w:t>。</w:t>
      </w:r>
    </w:p>
    <w:p w14:paraId="649CDDCA">
      <w:pPr>
        <w:pStyle w:val="7"/>
        <w:spacing w:line="360" w:lineRule="auto"/>
        <w:ind w:firstLine="422" w:firstLineChars="200"/>
        <w:rPr>
          <w:rFonts w:hint="eastAsia"/>
          <w:b/>
        </w:rPr>
      </w:pPr>
      <w:r>
        <w:rPr>
          <w:rFonts w:hint="eastAsia"/>
          <w:b/>
        </w:rPr>
        <w:t>2.投标文件格式</w:t>
      </w:r>
    </w:p>
    <w:p w14:paraId="64A790F7">
      <w:pPr>
        <w:pStyle w:val="7"/>
        <w:spacing w:line="360" w:lineRule="auto"/>
        <w:ind w:firstLine="422" w:firstLineChars="200"/>
        <w:rPr>
          <w:rFonts w:hint="eastAsia"/>
          <w:b/>
        </w:rPr>
      </w:pPr>
      <w:r>
        <w:rPr>
          <w:rFonts w:hint="eastAsia"/>
          <w:b/>
        </w:rPr>
        <w:t>（1）资质文件</w:t>
      </w:r>
    </w:p>
    <w:p w14:paraId="1C166CA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bookmarkStart w:id="1" w:name="_Toc47976601"/>
      <w:r>
        <w:rPr>
          <w:rFonts w:hint="eastAsia" w:ascii="宋体" w:hAnsi="Courier New" w:eastAsia="宋体" w:cs="Times New Roman"/>
          <w:kern w:val="2"/>
          <w:sz w:val="21"/>
          <w:highlight w:val="none"/>
          <w:lang w:val="en-US" w:eastAsia="zh-CN" w:bidi="ar-SA"/>
        </w:rPr>
        <w:t>1、法定代表人身份证明</w:t>
      </w:r>
      <w:r>
        <w:rPr>
          <w:rFonts w:hint="eastAsia" w:ascii="宋体" w:hAnsi="Courier New" w:cs="Times New Roman"/>
          <w:kern w:val="2"/>
          <w:sz w:val="21"/>
          <w:highlight w:val="none"/>
          <w:lang w:val="en-US" w:eastAsia="zh-CN" w:bidi="ar-SA"/>
        </w:rPr>
        <w:t>。</w:t>
      </w:r>
    </w:p>
    <w:p w14:paraId="091B3F1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2、法人授权委托书及身份证复印件</w:t>
      </w:r>
      <w:r>
        <w:rPr>
          <w:rFonts w:hint="eastAsia" w:ascii="宋体" w:hAnsi="Courier New" w:cs="Times New Roman"/>
          <w:kern w:val="2"/>
          <w:sz w:val="21"/>
          <w:highlight w:val="none"/>
          <w:lang w:val="en-US" w:eastAsia="zh-CN" w:bidi="ar-SA"/>
        </w:rPr>
        <w:t>。</w:t>
      </w:r>
    </w:p>
    <w:p w14:paraId="150CC562">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3、营业执照副本复印件</w:t>
      </w:r>
      <w:r>
        <w:rPr>
          <w:rFonts w:hint="eastAsia" w:ascii="宋体" w:hAnsi="Courier New" w:cs="Times New Roman"/>
          <w:kern w:val="2"/>
          <w:sz w:val="21"/>
          <w:highlight w:val="none"/>
          <w:lang w:val="en-US" w:eastAsia="zh-CN" w:bidi="ar-SA"/>
        </w:rPr>
        <w:t>。</w:t>
      </w:r>
    </w:p>
    <w:p w14:paraId="66CC37B1">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4</w:t>
      </w:r>
      <w:r>
        <w:rPr>
          <w:rFonts w:hint="eastAsia" w:ascii="宋体" w:hAnsi="Courier New" w:eastAsia="宋体" w:cs="Times New Roman"/>
          <w:kern w:val="2"/>
          <w:sz w:val="21"/>
          <w:highlight w:val="none"/>
          <w:lang w:val="en-US" w:eastAsia="zh-CN" w:bidi="ar-SA"/>
        </w:rPr>
        <w:t>、《投标保证金缴纳凭证》</w:t>
      </w:r>
      <w:r>
        <w:rPr>
          <w:rFonts w:hint="eastAsia" w:ascii="宋体" w:hAnsi="Courier New" w:cs="Times New Roman"/>
          <w:kern w:val="2"/>
          <w:sz w:val="21"/>
          <w:highlight w:val="none"/>
          <w:lang w:val="en-US" w:eastAsia="zh-CN" w:bidi="ar-SA"/>
        </w:rPr>
        <w:t>（投标阶段缴纳）</w:t>
      </w:r>
      <w:r>
        <w:rPr>
          <w:rFonts w:hint="eastAsia" w:ascii="宋体" w:hAnsi="Courier New" w:eastAsia="宋体" w:cs="Times New Roman"/>
          <w:kern w:val="2"/>
          <w:sz w:val="21"/>
          <w:highlight w:val="none"/>
          <w:lang w:val="en-US" w:eastAsia="zh-CN" w:bidi="ar-SA"/>
        </w:rPr>
        <w:t>。</w:t>
      </w:r>
    </w:p>
    <w:p w14:paraId="11306B6B">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5</w:t>
      </w:r>
      <w:r>
        <w:rPr>
          <w:rFonts w:hint="eastAsia" w:ascii="宋体" w:hAnsi="Courier New" w:eastAsia="宋体" w:cs="Times New Roman"/>
          <w:kern w:val="2"/>
          <w:sz w:val="21"/>
          <w:highlight w:val="none"/>
          <w:lang w:val="en-US" w:eastAsia="zh-CN" w:bidi="ar-SA"/>
        </w:rPr>
        <w:t>、近三年财务报表（资产负债表、损益表、现金流量表）等；企业最近半年完税证明、信用证明材料（中国人民银行信用代码证+征信报告）；年度纳税信用评价信息（可从电子税务局查询截图，需加盖公章）；企业对外担保说明（写明贵单位对外有无对外担保和质押业务，需加盖公章）。</w:t>
      </w:r>
    </w:p>
    <w:p w14:paraId="2B193811">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6</w:t>
      </w:r>
      <w:r>
        <w:rPr>
          <w:rFonts w:hint="eastAsia" w:ascii="宋体" w:hAnsi="Courier New" w:eastAsia="宋体" w:cs="Times New Roman"/>
          <w:kern w:val="2"/>
          <w:sz w:val="21"/>
          <w:highlight w:val="none"/>
          <w:lang w:val="en-US" w:eastAsia="zh-CN" w:bidi="ar-SA"/>
        </w:rPr>
        <w:t>、招标文件中要求的其它资格证明文件。</w:t>
      </w:r>
    </w:p>
    <w:p w14:paraId="05B00D1D">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7</w:t>
      </w:r>
      <w:r>
        <w:rPr>
          <w:rFonts w:hint="eastAsia" w:ascii="宋体" w:hAnsi="Courier New" w:eastAsia="宋体" w:cs="Times New Roman"/>
          <w:kern w:val="2"/>
          <w:sz w:val="21"/>
          <w:highlight w:val="none"/>
          <w:lang w:val="en-US" w:eastAsia="zh-CN" w:bidi="ar-SA"/>
        </w:rPr>
        <w:t>、近三个月依法缴纳税收和社会保障资金的证明材料，近三年内在经营活动中没有违法违纪行为的声明；</w:t>
      </w:r>
    </w:p>
    <w:p w14:paraId="52AB0CF5">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8</w:t>
      </w:r>
      <w:r>
        <w:rPr>
          <w:rFonts w:hint="eastAsia" w:ascii="宋体" w:hAnsi="Courier New" w:eastAsia="宋体" w:cs="Times New Roman"/>
          <w:kern w:val="2"/>
          <w:sz w:val="21"/>
          <w:highlight w:val="none"/>
          <w:lang w:val="en-US" w:eastAsia="zh-CN" w:bidi="ar-SA"/>
        </w:rPr>
        <w:t>、投标单位在国家企业信用信息公示系统中无与本投标项目有关的行政处罚、经营异常或失信信息或上述信息已被移除的声明。</w:t>
      </w:r>
    </w:p>
    <w:p w14:paraId="3C17862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cs="Times New Roman"/>
          <w:kern w:val="2"/>
          <w:sz w:val="21"/>
          <w:highlight w:val="none"/>
          <w:lang w:val="en-US" w:eastAsia="zh-CN" w:bidi="ar-SA"/>
        </w:rPr>
        <w:t>9、</w:t>
      </w:r>
      <w:r>
        <w:rPr>
          <w:rFonts w:hint="eastAsia" w:ascii="宋体" w:hAnsi="Courier New" w:eastAsia="宋体" w:cs="Times New Roman"/>
          <w:kern w:val="2"/>
          <w:sz w:val="21"/>
          <w:highlight w:val="none"/>
          <w:lang w:val="en-US" w:eastAsia="zh-CN" w:bidi="ar-SA"/>
        </w:rPr>
        <w:t>证明投标人满足投标资料表中列出的业绩要求的文件：近三年（</w:t>
      </w:r>
      <w:r>
        <w:rPr>
          <w:rFonts w:hint="eastAsia" w:ascii="宋体" w:hAnsi="Courier New" w:cs="Times New Roman"/>
          <w:color w:val="0000FF"/>
          <w:kern w:val="2"/>
          <w:sz w:val="21"/>
          <w:lang w:val="en-US" w:eastAsia="zh-CN" w:bidi="ar-SA"/>
        </w:rPr>
        <w:t>2023</w:t>
      </w:r>
      <w:r>
        <w:rPr>
          <w:rFonts w:hint="eastAsia" w:ascii="宋体" w:hAnsi="Courier New" w:eastAsia="宋体" w:cs="Times New Roman"/>
          <w:color w:val="0000FF"/>
          <w:kern w:val="2"/>
          <w:sz w:val="21"/>
          <w:lang w:val="en-US" w:eastAsia="zh-CN" w:bidi="ar-SA"/>
        </w:rPr>
        <w:t>年1月1日至今</w:t>
      </w:r>
      <w:r>
        <w:rPr>
          <w:rFonts w:hint="eastAsia" w:ascii="宋体" w:hAnsi="Courier New" w:eastAsia="宋体" w:cs="Times New Roman"/>
          <w:kern w:val="2"/>
          <w:sz w:val="21"/>
          <w:highlight w:val="none"/>
          <w:lang w:val="en-US" w:eastAsia="zh-CN" w:bidi="ar-SA"/>
        </w:rPr>
        <w:t>）类似项目业绩及合同复印件（加盖公章，须有客户联系方式及联系人以供招标人核实确认）。</w:t>
      </w:r>
    </w:p>
    <w:bookmarkEnd w:id="1"/>
    <w:p w14:paraId="51409FC7">
      <w:pPr>
        <w:spacing w:line="336" w:lineRule="auto"/>
        <w:ind w:left="450" w:leftChars="200" w:hanging="30" w:hangingChars="14"/>
        <w:rPr>
          <w:rFonts w:hint="eastAsia" w:ascii="宋体" w:hAnsi="宋体" w:cs="宋体"/>
          <w:spacing w:val="4"/>
          <w:szCs w:val="21"/>
          <w:highlight w:val="none"/>
          <w:lang w:val="en-US" w:eastAsia="zh-CN"/>
        </w:rPr>
      </w:pPr>
      <w:r>
        <w:rPr>
          <w:rFonts w:hint="eastAsia"/>
          <w:b/>
          <w:lang w:val="en-US" w:eastAsia="zh-CN"/>
        </w:rPr>
        <w:t>（2）技术标</w:t>
      </w:r>
      <w:r>
        <w:rPr>
          <w:rFonts w:hint="eastAsia"/>
          <w:b/>
          <w:lang w:val="en-US" w:eastAsia="zh-CN"/>
        </w:rPr>
        <w:br w:type="textWrapping"/>
      </w:r>
      <w:r>
        <w:rPr>
          <w:rFonts w:hint="eastAsia" w:ascii="宋体" w:hAnsi="宋体" w:cs="宋体"/>
          <w:spacing w:val="4"/>
          <w:szCs w:val="21"/>
          <w:highlight w:val="none"/>
          <w:lang w:val="en-US" w:eastAsia="zh-CN"/>
        </w:rPr>
        <w:t>1、技术规格偏离表，必须先进行两列要求一一对照，不允许直接写无偏离。</w:t>
      </w:r>
    </w:p>
    <w:p w14:paraId="455DE49C">
      <w:pPr>
        <w:spacing w:line="336" w:lineRule="auto"/>
        <w:ind w:left="450" w:leftChars="200" w:hanging="30" w:hangingChars="14"/>
        <w:rPr>
          <w:rFonts w:hint="eastAsia" w:ascii="宋体" w:hAnsi="宋体" w:cs="宋体"/>
          <w:spacing w:val="4"/>
          <w:szCs w:val="21"/>
          <w:highlight w:val="none"/>
          <w:lang w:val="en-US" w:eastAsia="zh-CN"/>
        </w:rPr>
      </w:pPr>
      <w:r>
        <w:rPr>
          <w:rFonts w:hint="eastAsia" w:ascii="宋体" w:hAnsi="宋体" w:cs="宋体"/>
          <w:spacing w:val="4"/>
          <w:szCs w:val="21"/>
          <w:highlight w:val="none"/>
          <w:lang w:val="en-US" w:eastAsia="zh-CN"/>
        </w:rPr>
        <w:t>2、投标人需提交的其它</w:t>
      </w:r>
      <w:r>
        <w:rPr>
          <w:rFonts w:hint="eastAsia" w:ascii="宋体" w:hAnsi="宋体" w:cs="宋体"/>
          <w:szCs w:val="21"/>
          <w:highlight w:val="none"/>
        </w:rPr>
        <w:t>技术资料</w:t>
      </w:r>
      <w:r>
        <w:rPr>
          <w:rFonts w:hint="eastAsia" w:ascii="宋体" w:hAnsi="宋体" w:cs="宋体"/>
          <w:spacing w:val="4"/>
          <w:szCs w:val="21"/>
          <w:highlight w:val="none"/>
          <w:lang w:val="en-US" w:eastAsia="zh-CN"/>
        </w:rPr>
        <w:t>。</w:t>
      </w:r>
    </w:p>
    <w:p w14:paraId="002A32EA">
      <w:pPr>
        <w:spacing w:line="336" w:lineRule="auto"/>
        <w:ind w:left="450" w:leftChars="200" w:hanging="30" w:hangingChars="14"/>
        <w:rPr>
          <w:rFonts w:hint="default" w:ascii="宋体" w:hAnsi="宋体" w:eastAsia="宋体" w:cs="宋体"/>
          <w:spacing w:val="4"/>
          <w:szCs w:val="21"/>
          <w:highlight w:val="none"/>
          <w:lang w:val="en-US" w:eastAsia="zh-CN"/>
        </w:rPr>
      </w:pPr>
      <w:r>
        <w:rPr>
          <w:rFonts w:hint="eastAsia" w:ascii="宋体" w:hAnsi="宋体" w:cs="宋体"/>
          <w:spacing w:val="4"/>
          <w:szCs w:val="21"/>
          <w:highlight w:val="none"/>
          <w:lang w:val="en-US" w:eastAsia="zh-CN"/>
        </w:rPr>
        <w:t>3、</w:t>
      </w:r>
      <w:r>
        <w:rPr>
          <w:rFonts w:hint="eastAsia" w:ascii="宋体" w:hAnsi="宋体" w:cs="宋体"/>
          <w:szCs w:val="21"/>
          <w:highlight w:val="none"/>
        </w:rPr>
        <w:t>技术规范及服务要求：详见技术</w:t>
      </w:r>
      <w:r>
        <w:rPr>
          <w:rFonts w:hint="eastAsia" w:ascii="宋体" w:hAnsi="宋体" w:cs="宋体"/>
          <w:szCs w:val="21"/>
          <w:highlight w:val="none"/>
          <w:lang w:val="en-US" w:eastAsia="zh-CN"/>
        </w:rPr>
        <w:t>要求</w:t>
      </w:r>
      <w:r>
        <w:rPr>
          <w:rFonts w:hint="eastAsia" w:ascii="宋体" w:hAnsi="宋体" w:cs="宋体"/>
          <w:szCs w:val="21"/>
          <w:highlight w:val="none"/>
          <w:lang w:eastAsia="zh-CN"/>
        </w:rPr>
        <w:t>。</w:t>
      </w:r>
    </w:p>
    <w:p w14:paraId="609F8F44">
      <w:pPr>
        <w:pStyle w:val="7"/>
        <w:spacing w:line="360" w:lineRule="auto"/>
        <w:ind w:firstLine="422" w:firstLineChars="200"/>
        <w:rPr>
          <w:rFonts w:hint="eastAsia"/>
          <w:b/>
        </w:rPr>
      </w:pPr>
      <w:r>
        <w:rPr>
          <w:rFonts w:hint="eastAsia"/>
          <w:b/>
          <w:lang w:val="en-US" w:eastAsia="zh-CN"/>
        </w:rPr>
        <w:t>（3）</w:t>
      </w:r>
      <w:r>
        <w:rPr>
          <w:rFonts w:hint="eastAsia"/>
          <w:b/>
        </w:rPr>
        <w:t>商务标</w:t>
      </w:r>
    </w:p>
    <w:p w14:paraId="4F5BA4F9">
      <w:pPr>
        <w:pStyle w:val="7"/>
        <w:spacing w:line="360" w:lineRule="auto"/>
        <w:ind w:firstLine="422" w:firstLineChars="200"/>
        <w:rPr>
          <w:rFonts w:hint="eastAsia" w:eastAsia="宋体"/>
          <w:b/>
          <w:bCs w:val="0"/>
          <w:highlight w:val="none"/>
          <w:lang w:eastAsia="zh-CN"/>
        </w:rPr>
      </w:pPr>
      <w:r>
        <w:rPr>
          <w:rFonts w:hint="eastAsia"/>
          <w:b/>
          <w:bCs w:val="0"/>
          <w:highlight w:val="none"/>
          <w:lang w:val="en-US" w:eastAsia="zh-CN"/>
        </w:rPr>
        <w:t>1、</w:t>
      </w:r>
      <w:r>
        <w:rPr>
          <w:rFonts w:hint="eastAsia"/>
          <w:b/>
          <w:bCs w:val="0"/>
          <w:highlight w:val="none"/>
        </w:rPr>
        <w:t>投标函</w:t>
      </w:r>
      <w:r>
        <w:rPr>
          <w:rFonts w:hint="eastAsia"/>
          <w:b/>
          <w:bCs w:val="0"/>
          <w:highlight w:val="none"/>
          <w:lang w:eastAsia="zh-CN"/>
        </w:rPr>
        <w:t>。</w:t>
      </w:r>
    </w:p>
    <w:p w14:paraId="01B22EC5">
      <w:pPr>
        <w:pStyle w:val="7"/>
        <w:spacing w:line="360" w:lineRule="auto"/>
        <w:ind w:firstLine="422" w:firstLineChars="200"/>
        <w:rPr>
          <w:rFonts w:hint="eastAsia" w:eastAsia="宋体"/>
          <w:b/>
          <w:bCs w:val="0"/>
          <w:highlight w:val="none"/>
          <w:lang w:eastAsia="zh-CN"/>
        </w:rPr>
      </w:pPr>
      <w:r>
        <w:rPr>
          <w:rFonts w:hint="eastAsia"/>
          <w:b/>
          <w:bCs w:val="0"/>
          <w:highlight w:val="none"/>
          <w:lang w:val="en-US" w:eastAsia="zh-CN"/>
        </w:rPr>
        <w:t>2、</w:t>
      </w:r>
      <w:r>
        <w:rPr>
          <w:rFonts w:hint="eastAsia"/>
          <w:b/>
          <w:bCs w:val="0"/>
          <w:highlight w:val="none"/>
        </w:rPr>
        <w:t>开标一览表</w:t>
      </w:r>
      <w:r>
        <w:rPr>
          <w:rFonts w:hint="eastAsia"/>
          <w:b/>
          <w:bCs w:val="0"/>
          <w:highlight w:val="none"/>
          <w:lang w:eastAsia="zh-CN"/>
        </w:rPr>
        <w:t>。</w:t>
      </w:r>
    </w:p>
    <w:p w14:paraId="36F12D36">
      <w:pPr>
        <w:pStyle w:val="7"/>
        <w:spacing w:line="360" w:lineRule="auto"/>
        <w:ind w:firstLine="422" w:firstLineChars="200"/>
        <w:rPr>
          <w:rFonts w:hint="eastAsia" w:hAnsi="Courier New" w:eastAsia="宋体" w:cs="Times New Roman"/>
          <w:bCs/>
          <w:highlight w:val="none"/>
          <w:lang w:eastAsia="zh-CN"/>
        </w:rPr>
      </w:pPr>
      <w:r>
        <w:rPr>
          <w:rFonts w:hint="eastAsia" w:hAnsi="Courier New" w:eastAsia="宋体" w:cs="Times New Roman"/>
          <w:b/>
          <w:bCs w:val="0"/>
          <w:highlight w:val="none"/>
          <w:lang w:val="en-US" w:eastAsia="zh-CN"/>
        </w:rPr>
        <w:t>3、</w:t>
      </w:r>
      <w:r>
        <w:rPr>
          <w:rFonts w:hint="eastAsia" w:hAnsi="Courier New" w:eastAsia="宋体" w:cs="Times New Roman"/>
          <w:b/>
          <w:bCs w:val="0"/>
          <w:highlight w:val="none"/>
        </w:rPr>
        <w:t>商务条款偏离表</w:t>
      </w:r>
      <w:r>
        <w:rPr>
          <w:rFonts w:hint="eastAsia" w:cs="Times New Roman"/>
          <w:b/>
          <w:bCs w:val="0"/>
          <w:highlight w:val="none"/>
          <w:lang w:eastAsia="zh-CN"/>
        </w:rPr>
        <w:t>。</w:t>
      </w:r>
    </w:p>
    <w:p w14:paraId="5645C824">
      <w:pPr>
        <w:pStyle w:val="7"/>
        <w:spacing w:line="360" w:lineRule="auto"/>
        <w:ind w:firstLine="422" w:firstLineChars="200"/>
        <w:rPr>
          <w:b/>
        </w:rPr>
      </w:pPr>
      <w:r>
        <w:rPr>
          <w:rFonts w:hint="eastAsia"/>
          <w:b/>
          <w:lang w:val="en-US" w:eastAsia="zh-CN"/>
        </w:rPr>
        <w:t>4</w:t>
      </w:r>
      <w:r>
        <w:rPr>
          <w:rFonts w:hint="eastAsia"/>
          <w:b/>
          <w:lang w:eastAsia="zh-CN"/>
        </w:rPr>
        <w:t>、</w:t>
      </w:r>
      <w:r>
        <w:rPr>
          <w:rFonts w:hint="eastAsia"/>
          <w:b/>
        </w:rPr>
        <w:t>报价：</w:t>
      </w:r>
    </w:p>
    <w:p w14:paraId="24A5AFE8">
      <w:pPr>
        <w:pStyle w:val="7"/>
        <w:spacing w:line="360" w:lineRule="auto"/>
        <w:ind w:firstLine="420" w:firstLineChars="200"/>
        <w:rPr>
          <w:rFonts w:hint="eastAsia" w:eastAsia="宋体"/>
          <w:lang w:eastAsia="zh-CN"/>
        </w:rPr>
      </w:pPr>
      <w:r>
        <w:rPr>
          <w:rFonts w:hint="eastAsia" w:hAnsi="宋体"/>
        </w:rPr>
        <w:t>⑴</w:t>
      </w:r>
      <w:r>
        <w:rPr>
          <w:rFonts w:hint="eastAsia"/>
        </w:rPr>
        <w:t>本次报价应为：投标方与招标人或其指派的答疑人员充分沟通确认基础上，由投标人在满足招标人所提出的、与本项目所有相关环节有关的所有费用</w:t>
      </w:r>
      <w:r>
        <w:rPr>
          <w:rFonts w:hint="eastAsia"/>
          <w:lang w:eastAsia="zh-CN"/>
        </w:rPr>
        <w:t>。</w:t>
      </w:r>
    </w:p>
    <w:p w14:paraId="462EAF85">
      <w:pPr>
        <w:pStyle w:val="7"/>
        <w:spacing w:line="360" w:lineRule="auto"/>
        <w:ind w:firstLine="420" w:firstLineChars="200"/>
        <w:rPr>
          <w:rFonts w:hint="default"/>
          <w:lang w:val="en-US" w:eastAsia="zh-CN"/>
        </w:rPr>
      </w:pPr>
      <w:r>
        <w:rPr>
          <w:rFonts w:hint="eastAsia"/>
        </w:rPr>
        <w:t>⑵</w:t>
      </w:r>
      <w:r>
        <w:rPr>
          <w:rFonts w:hint="default"/>
        </w:rPr>
        <w:t>供方投标报价有效期不得少于90日。</w:t>
      </w:r>
    </w:p>
    <w:p w14:paraId="180D368F">
      <w:pPr>
        <w:spacing w:line="360" w:lineRule="auto"/>
        <w:ind w:left="420" w:leftChars="200" w:firstLine="0" w:firstLineChars="0"/>
        <w:rPr>
          <w:rFonts w:hint="eastAsia" w:ascii="宋体" w:hAnsi="Courier New" w:eastAsia="宋体"/>
          <w:highlight w:val="none"/>
          <w:lang w:eastAsia="zh-CN"/>
        </w:rPr>
      </w:pPr>
      <w:r>
        <w:rPr>
          <w:rFonts w:hint="eastAsia" w:ascii="宋体" w:hAnsi="宋体"/>
          <w:highlight w:val="none"/>
        </w:rPr>
        <w:t>⑶</w:t>
      </w:r>
      <w:r>
        <w:rPr>
          <w:rFonts w:hint="eastAsia" w:ascii="宋体" w:hAnsi="Courier New"/>
          <w:highlight w:val="none"/>
        </w:rPr>
        <w:t>所有报价货币单位为：</w:t>
      </w:r>
    </w:p>
    <w:p w14:paraId="13EFA712">
      <w:pPr>
        <w:spacing w:line="360" w:lineRule="auto"/>
        <w:ind w:left="420" w:leftChars="200" w:firstLine="0" w:firstLineChars="0"/>
        <w:rPr>
          <w:rFonts w:hint="eastAsia" w:ascii="宋体" w:hAnsi="Courier New"/>
          <w:highlight w:val="none"/>
          <w:lang w:eastAsia="zh-CN"/>
        </w:rPr>
      </w:pPr>
      <w:r>
        <w:rPr>
          <w:rFonts w:hint="eastAsia" w:ascii="宋体" w:hAnsi="Courier New"/>
          <w:highlight w:val="none"/>
          <w:lang w:val="en-US" w:eastAsia="zh-CN"/>
        </w:rPr>
        <w:t>合计项目总价</w:t>
      </w:r>
      <w:r>
        <w:rPr>
          <w:rFonts w:hint="eastAsia" w:ascii="宋体" w:hAnsi="Courier New"/>
          <w:highlight w:val="none"/>
          <w:u w:val="single"/>
          <w:lang w:val="en-US" w:eastAsia="zh-CN"/>
        </w:rPr>
        <w:t xml:space="preserve">    </w:t>
      </w:r>
      <w:r>
        <w:rPr>
          <w:rFonts w:hint="eastAsia" w:ascii="宋体" w:hAnsi="Courier New"/>
          <w:highlight w:val="none"/>
        </w:rPr>
        <w:t>元（人民币，未税）；税率</w:t>
      </w:r>
      <w:r>
        <w:rPr>
          <w:rFonts w:hint="eastAsia" w:ascii="宋体" w:hAnsi="Courier New"/>
          <w:highlight w:val="none"/>
          <w:u w:val="single"/>
          <w:lang w:val="en-US" w:eastAsia="zh-CN"/>
        </w:rPr>
        <w:t xml:space="preserve">   </w:t>
      </w:r>
      <w:r>
        <w:rPr>
          <w:rFonts w:hint="eastAsia" w:ascii="宋体" w:hAnsi="Courier New"/>
          <w:highlight w:val="none"/>
        </w:rPr>
        <w:t>；</w:t>
      </w:r>
      <w:r>
        <w:rPr>
          <w:rFonts w:hint="eastAsia" w:ascii="宋体" w:hAnsi="Courier New"/>
          <w:highlight w:val="none"/>
          <w:u w:val="single"/>
          <w:lang w:val="en-US" w:eastAsia="zh-CN"/>
        </w:rPr>
        <w:t xml:space="preserve">    </w:t>
      </w:r>
      <w:r>
        <w:rPr>
          <w:rFonts w:hint="eastAsia" w:ascii="宋体" w:hAnsi="Courier New"/>
          <w:highlight w:val="none"/>
        </w:rPr>
        <w:t>元（人民币</w:t>
      </w:r>
      <w:r>
        <w:rPr>
          <w:rFonts w:hint="eastAsia" w:ascii="宋体" w:hAnsi="Courier New"/>
          <w:highlight w:val="none"/>
          <w:lang w:eastAsia="zh-CN"/>
        </w:rPr>
        <w:t>，</w:t>
      </w:r>
      <w:r>
        <w:rPr>
          <w:rFonts w:hint="eastAsia" w:ascii="宋体" w:hAnsi="Courier New"/>
          <w:highlight w:val="none"/>
          <w:lang w:val="en-US" w:eastAsia="zh-CN"/>
        </w:rPr>
        <w:t>含税</w:t>
      </w:r>
      <w:r>
        <w:rPr>
          <w:rFonts w:hint="eastAsia" w:ascii="宋体" w:hAnsi="Courier New"/>
          <w:highlight w:val="none"/>
        </w:rPr>
        <w:t>）</w:t>
      </w:r>
      <w:r>
        <w:rPr>
          <w:rFonts w:hint="eastAsia" w:ascii="宋体" w:hAnsi="Courier New"/>
          <w:highlight w:val="none"/>
          <w:lang w:eastAsia="zh-CN"/>
        </w:rPr>
        <w:t>。</w:t>
      </w:r>
    </w:p>
    <w:p w14:paraId="55C76DB3">
      <w:pPr>
        <w:spacing w:line="360" w:lineRule="auto"/>
        <w:ind w:firstLine="420" w:firstLineChars="200"/>
        <w:rPr>
          <w:rFonts w:hint="eastAsia" w:hAnsi="宋体"/>
          <w:highlight w:val="yellow"/>
          <w:lang w:eastAsia="zh-CN"/>
        </w:rPr>
      </w:pPr>
      <w:r>
        <w:rPr>
          <w:rFonts w:hint="eastAsia" w:hAnsi="宋体"/>
        </w:rPr>
        <w:t>⑷</w:t>
      </w:r>
      <w:r>
        <w:rPr>
          <w:rFonts w:hint="eastAsia" w:hAnsi="宋体"/>
          <w:highlight w:val="none"/>
        </w:rPr>
        <w:t>原则上招标人将与中标人签订</w:t>
      </w:r>
      <w:r>
        <w:rPr>
          <w:rFonts w:hint="eastAsia" w:hAnsi="宋体"/>
          <w:highlight w:val="none"/>
          <w:lang w:val="en-US" w:eastAsia="zh-CN"/>
        </w:rPr>
        <w:t>合同</w:t>
      </w:r>
      <w:r>
        <w:rPr>
          <w:rFonts w:hint="eastAsia" w:hAnsi="宋体"/>
          <w:highlight w:val="none"/>
        </w:rPr>
        <w:t>。鉴于此，投标人应酌情考虑总体能力，本着诚信合作的态度，向招标人提供真实、合理的投标报价</w:t>
      </w:r>
      <w:r>
        <w:rPr>
          <w:rFonts w:hint="eastAsia" w:hAnsi="宋体"/>
          <w:highlight w:val="none"/>
          <w:lang w:eastAsia="zh-CN"/>
        </w:rPr>
        <w:t>。</w:t>
      </w:r>
    </w:p>
    <w:p w14:paraId="4DA2F9A0">
      <w:pPr>
        <w:spacing w:line="360" w:lineRule="auto"/>
        <w:ind w:firstLine="420" w:firstLineChars="200"/>
        <w:rPr>
          <w:rFonts w:hint="eastAsia" w:hAnsi="宋体"/>
          <w:highlight w:val="none"/>
        </w:rPr>
      </w:pPr>
      <w:r>
        <w:rPr>
          <w:rFonts w:hint="eastAsia" w:hAnsi="宋体"/>
          <w:highlight w:val="none"/>
        </w:rPr>
        <w:t>⑸投标价格含合同签订的现场勘查、</w:t>
      </w:r>
      <w:r>
        <w:rPr>
          <w:rFonts w:hint="eastAsia" w:hAnsi="宋体"/>
          <w:highlight w:val="none"/>
          <w:lang w:val="en-US" w:eastAsia="zh-CN"/>
        </w:rPr>
        <w:t>材料供货、安装施工、验收等</w:t>
      </w:r>
      <w:r>
        <w:rPr>
          <w:rFonts w:hint="eastAsia" w:hAnsi="宋体"/>
          <w:highlight w:val="none"/>
        </w:rPr>
        <w:t>合同包含的所有风险、责任等各项应有费用。评标小组有权根据报价情况要求所有投标人进行澄清。</w:t>
      </w:r>
    </w:p>
    <w:p w14:paraId="16B2F163">
      <w:pPr>
        <w:spacing w:line="360" w:lineRule="auto"/>
        <w:ind w:firstLine="420" w:firstLineChars="200"/>
        <w:rPr>
          <w:rFonts w:hint="eastAsia" w:hAnsi="宋体"/>
          <w:highlight w:val="none"/>
        </w:rPr>
      </w:pPr>
      <w:r>
        <w:rPr>
          <w:rFonts w:hint="eastAsia" w:hAnsi="宋体"/>
          <w:highlight w:val="none"/>
        </w:rPr>
        <w:t>⑹投标人所提供的单价和合价在合同实施期间不因市场变化因素而变动，投标人在计算报价时可考虑一定的风险系数；凡漏项报价者，中标后不得调整价格。</w:t>
      </w:r>
      <w:r>
        <w:rPr>
          <w:rFonts w:hint="eastAsia" w:hAnsi="宋体"/>
          <w:highlight w:val="none"/>
          <w:lang w:eastAsia="zh-CN"/>
        </w:rPr>
        <w:t>（</w:t>
      </w:r>
      <w:r>
        <w:rPr>
          <w:rFonts w:hint="eastAsia" w:hAnsi="宋体"/>
          <w:highlight w:val="none"/>
        </w:rPr>
        <w:t>报价应明确含税价格，不含税价格以及开具发票税率）。</w:t>
      </w:r>
    </w:p>
    <w:p w14:paraId="052ECD14">
      <w:pPr>
        <w:spacing w:line="360" w:lineRule="auto"/>
        <w:ind w:firstLine="420" w:firstLineChars="200"/>
        <w:rPr>
          <w:rFonts w:hint="eastAsia" w:hAnsi="宋体" w:eastAsia="宋体"/>
          <w:highlight w:val="none"/>
          <w:lang w:val="en-US" w:eastAsia="zh-CN"/>
        </w:rPr>
      </w:pPr>
      <w:r>
        <w:rPr>
          <w:rFonts w:hint="eastAsia" w:hAnsi="宋体"/>
          <w:highlight w:val="none"/>
        </w:rPr>
        <w:t>如投标人不认可、不接受</w:t>
      </w:r>
      <w:r>
        <w:rPr>
          <w:rFonts w:hint="eastAsia" w:hAnsi="宋体"/>
          <w:highlight w:val="none"/>
          <w:lang w:val="en-US" w:eastAsia="zh-CN"/>
        </w:rPr>
        <w:t>付款方式</w:t>
      </w:r>
      <w:r>
        <w:rPr>
          <w:rFonts w:hint="eastAsia" w:hAnsi="宋体"/>
          <w:highlight w:val="none"/>
        </w:rPr>
        <w:t>，则须在本标书开标一览表中注明，招标人将视之为主动弃标</w:t>
      </w:r>
      <w:r>
        <w:rPr>
          <w:rFonts w:hint="eastAsia" w:hAnsi="宋体"/>
          <w:highlight w:val="none"/>
          <w:lang w:eastAsia="zh-CN"/>
        </w:rPr>
        <w:t>。</w:t>
      </w:r>
    </w:p>
    <w:p w14:paraId="106FB2E2">
      <w:pPr>
        <w:pStyle w:val="7"/>
        <w:numPr>
          <w:ilvl w:val="0"/>
          <w:numId w:val="0"/>
        </w:numPr>
        <w:spacing w:line="360" w:lineRule="auto"/>
        <w:ind w:left="420" w:leftChars="200" w:firstLine="0" w:firstLineChars="0"/>
        <w:rPr>
          <w:rFonts w:hint="eastAsia" w:ascii="Calibri" w:hAnsi="Calibri"/>
          <w:highlight w:val="none"/>
        </w:rPr>
      </w:pPr>
      <w:r>
        <w:rPr>
          <w:rFonts w:hint="eastAsia"/>
          <w:b/>
          <w:highlight w:val="none"/>
          <w:lang w:val="en-US" w:eastAsia="zh-CN"/>
        </w:rPr>
        <w:t>5、</w:t>
      </w:r>
      <w:r>
        <w:rPr>
          <w:rFonts w:hint="eastAsia" w:ascii="宋体" w:hAnsi="Courier New" w:eastAsia="宋体" w:cs="Times New Roman"/>
          <w:b/>
          <w:highlight w:val="none"/>
          <w:lang w:val="en-US" w:eastAsia="zh-CN"/>
        </w:rPr>
        <w:t>结算价确定：</w:t>
      </w:r>
      <w:r>
        <w:rPr>
          <w:rFonts w:hint="eastAsia" w:ascii="Times New Roman" w:hAnsi="宋体" w:eastAsia="宋体" w:cs="Times New Roman"/>
          <w:kern w:val="2"/>
          <w:sz w:val="21"/>
          <w:highlight w:val="none"/>
          <w:u w:val="single"/>
          <w:lang w:val="en-US" w:eastAsia="zh-CN" w:bidi="ar-SA"/>
        </w:rPr>
        <w:t>招标确定固定</w:t>
      </w:r>
      <w:r>
        <w:rPr>
          <w:rFonts w:hint="eastAsia" w:ascii="Times New Roman" w:hAnsi="宋体" w:cs="Times New Roman"/>
          <w:kern w:val="2"/>
          <w:sz w:val="21"/>
          <w:highlight w:val="none"/>
          <w:u w:val="single"/>
          <w:lang w:val="en-US" w:eastAsia="zh-CN" w:bidi="ar-SA"/>
        </w:rPr>
        <w:t>单价，据实结算</w:t>
      </w:r>
      <w:r>
        <w:rPr>
          <w:rFonts w:hint="eastAsia" w:ascii="Times New Roman" w:hAnsi="宋体" w:eastAsia="宋体" w:cs="Times New Roman"/>
          <w:kern w:val="2"/>
          <w:sz w:val="21"/>
          <w:highlight w:val="none"/>
          <w:u w:val="single"/>
          <w:lang w:val="en-US" w:eastAsia="zh-CN" w:bidi="ar-SA"/>
        </w:rPr>
        <w:t>。</w:t>
      </w:r>
      <w:r>
        <w:rPr>
          <w:rFonts w:hint="eastAsia" w:ascii="Times New Roman" w:hAnsi="宋体" w:eastAsia="宋体" w:cs="Times New Roman"/>
          <w:kern w:val="2"/>
          <w:sz w:val="21"/>
          <w:highlight w:val="none"/>
          <w:u w:val="single"/>
          <w:lang w:val="en-US" w:eastAsia="zh-CN" w:bidi="ar-SA"/>
        </w:rPr>
        <w:br w:type="textWrapping"/>
      </w:r>
      <w:r>
        <w:rPr>
          <w:rFonts w:hint="eastAsia"/>
          <w:b/>
          <w:highlight w:val="none"/>
        </w:rPr>
        <w:t>付款方式：</w:t>
      </w:r>
      <w:r>
        <w:rPr>
          <w:rFonts w:hint="eastAsia"/>
          <w:b/>
          <w:bCs/>
          <w:highlight w:val="none"/>
          <w:u w:val="single"/>
        </w:rPr>
        <w:t>验收款90%，质保金10%</w:t>
      </w:r>
      <w:r>
        <w:rPr>
          <w:rFonts w:hint="eastAsia" w:ascii="Calibri" w:hAnsi="Calibri"/>
          <w:bCs/>
          <w:highlight w:val="none"/>
        </w:rPr>
        <w:t>，具体以</w:t>
      </w:r>
      <w:r>
        <w:rPr>
          <w:rFonts w:hint="eastAsia" w:ascii="Calibri" w:hAnsi="Calibri"/>
          <w:highlight w:val="none"/>
        </w:rPr>
        <w:t>双方最终签署的合同为准。</w:t>
      </w:r>
    </w:p>
    <w:p w14:paraId="18001194">
      <w:pPr>
        <w:spacing w:line="360" w:lineRule="auto"/>
        <w:ind w:firstLine="422" w:firstLineChars="200"/>
        <w:rPr>
          <w:rFonts w:hint="eastAsia" w:ascii="Times New Roman" w:hAnsi="宋体" w:eastAsia="宋体" w:cs="Times New Roman"/>
          <w:highlight w:val="yellow"/>
        </w:rPr>
      </w:pPr>
      <w:r>
        <w:rPr>
          <w:rFonts w:hint="eastAsia" w:ascii="Calibri" w:hAnsi="Calibri"/>
          <w:b/>
          <w:bCs/>
          <w:highlight w:val="none"/>
        </w:rPr>
        <w:t>付款结算方法：</w:t>
      </w:r>
      <w:r>
        <w:rPr>
          <w:rFonts w:hint="eastAsia" w:ascii="Calibri" w:hAnsi="Calibri"/>
          <w:highlight w:val="none"/>
          <w:u w:val="single"/>
        </w:rPr>
        <w:t>半年期</w:t>
      </w:r>
      <w:r>
        <w:rPr>
          <w:rFonts w:hint="eastAsia" w:ascii="Calibri" w:hAnsi="Calibri"/>
          <w:highlight w:val="none"/>
          <w:u w:val="single"/>
          <w:lang w:val="en-US" w:eastAsia="zh-CN"/>
        </w:rPr>
        <w:t>商业</w:t>
      </w:r>
      <w:r>
        <w:rPr>
          <w:rFonts w:hint="eastAsia" w:ascii="Calibri" w:hAnsi="Calibri"/>
          <w:highlight w:val="none"/>
          <w:u w:val="single"/>
        </w:rPr>
        <w:t>汇票（包括银行承兑汇票和商业承兑汇票）</w:t>
      </w:r>
    </w:p>
    <w:p w14:paraId="46A17E17">
      <w:pPr>
        <w:pStyle w:val="7"/>
        <w:numPr>
          <w:ilvl w:val="0"/>
          <w:numId w:val="6"/>
        </w:numPr>
        <w:spacing w:line="360" w:lineRule="auto"/>
        <w:ind w:left="631" w:leftChars="200" w:hanging="211" w:hangingChars="100"/>
        <w:rPr>
          <w:rFonts w:hint="eastAsia" w:cs="Times New Roman"/>
          <w:b/>
          <w:bCs w:val="0"/>
          <w:highlight w:val="none"/>
          <w:lang w:val="en-US" w:eastAsia="zh-CN"/>
        </w:rPr>
      </w:pPr>
      <w:r>
        <w:rPr>
          <w:rFonts w:hint="eastAsia" w:cs="Times New Roman"/>
          <w:b/>
          <w:bCs w:val="0"/>
          <w:highlight w:val="none"/>
          <w:lang w:val="en-US" w:eastAsia="zh-CN"/>
        </w:rPr>
        <w:t>投标文件要求：</w:t>
      </w:r>
    </w:p>
    <w:p w14:paraId="35B3136A">
      <w:pPr>
        <w:pStyle w:val="7"/>
        <w:spacing w:line="360" w:lineRule="auto"/>
        <w:ind w:firstLine="420" w:firstLineChars="200"/>
        <w:rPr>
          <w:rFonts w:hint="eastAsia" w:ascii="宋体" w:eastAsia="宋体" w:cs="Times New Roman"/>
          <w:bCs/>
          <w:highlight w:val="none"/>
          <w:lang w:val="en-US" w:eastAsia="zh-CN"/>
        </w:rPr>
      </w:pPr>
      <w:r>
        <w:rPr>
          <w:rFonts w:hint="eastAsia" w:cs="Times New Roman"/>
          <w:bCs/>
          <w:highlight w:val="none"/>
          <w:lang w:val="en-US" w:eastAsia="zh-CN"/>
        </w:rPr>
        <w:t>（1）招标方</w:t>
      </w:r>
      <w:r>
        <w:rPr>
          <w:rFonts w:hint="eastAsia" w:ascii="宋体" w:eastAsia="宋体" w:cs="Times New Roman"/>
          <w:bCs/>
          <w:highlight w:val="none"/>
          <w:lang w:val="en-US" w:eastAsia="zh-CN"/>
        </w:rPr>
        <w:t>式采用电子化线上/现场投标，投标方应登录中国重汽e采通上传投标文件，投标文件应编制目录并逐页编码，扫描为清晰的PDF格式的电子版文件（签字并加盖公司红章）。</w:t>
      </w:r>
    </w:p>
    <w:p w14:paraId="12461BB1">
      <w:pPr>
        <w:pStyle w:val="7"/>
        <w:spacing w:line="360" w:lineRule="auto"/>
        <w:ind w:firstLine="420" w:firstLineChars="200"/>
        <w:rPr>
          <w:rFonts w:hint="eastAsia" w:hAnsi="Courier New" w:eastAsia="宋体" w:cs="Times New Roman"/>
          <w:bCs/>
          <w:highlight w:val="none"/>
        </w:rPr>
      </w:pPr>
      <w:r>
        <w:rPr>
          <w:rFonts w:hint="eastAsia" w:ascii="宋体" w:eastAsia="宋体" w:cs="Times New Roman"/>
          <w:bCs/>
          <w:highlight w:val="none"/>
          <w:lang w:val="en-US" w:eastAsia="zh-CN"/>
        </w:rPr>
        <w:t>线上投标：开标后，将</w:t>
      </w:r>
      <w:r>
        <w:rPr>
          <w:rFonts w:hint="eastAsia" w:hAnsi="Courier New" w:eastAsia="宋体" w:cs="Times New Roman"/>
          <w:bCs/>
          <w:highlight w:val="none"/>
        </w:rPr>
        <w:t>电子版文件（不加密）</w:t>
      </w:r>
      <w:r>
        <w:rPr>
          <w:rFonts w:hint="eastAsia" w:cs="Times New Roman"/>
          <w:bCs/>
          <w:highlight w:val="none"/>
          <w:lang w:val="en-US" w:eastAsia="zh-CN"/>
        </w:rPr>
        <w:t>发给招标人</w:t>
      </w:r>
      <w:r>
        <w:rPr>
          <w:rFonts w:hint="eastAsia" w:hAnsi="Courier New" w:eastAsia="宋体" w:cs="Times New Roman"/>
          <w:bCs/>
          <w:highlight w:val="none"/>
        </w:rPr>
        <w:t>。</w:t>
      </w:r>
    </w:p>
    <w:p w14:paraId="5B2DF202">
      <w:pPr>
        <w:pStyle w:val="7"/>
        <w:numPr>
          <w:ilvl w:val="0"/>
          <w:numId w:val="0"/>
        </w:numPr>
        <w:spacing w:line="360" w:lineRule="auto"/>
        <w:ind w:leftChars="100" w:firstLine="210" w:firstLineChars="100"/>
        <w:rPr>
          <w:rFonts w:hint="eastAsia" w:hAnsi="Courier New" w:eastAsia="宋体" w:cs="Times New Roman"/>
          <w:bCs/>
          <w:highlight w:val="none"/>
        </w:rPr>
      </w:pPr>
      <w:r>
        <w:rPr>
          <w:rFonts w:hint="eastAsia" w:ascii="宋体" w:eastAsia="宋体" w:cs="Times New Roman"/>
          <w:bCs/>
          <w:highlight w:val="none"/>
          <w:lang w:val="en-US" w:eastAsia="zh-CN"/>
        </w:rPr>
        <w:t>现场投标：开标当日，</w:t>
      </w:r>
      <w:r>
        <w:rPr>
          <w:rFonts w:hint="eastAsia" w:cs="Times New Roman"/>
          <w:bCs/>
          <w:highlight w:val="none"/>
          <w:lang w:val="en-US" w:eastAsia="zh-CN"/>
        </w:rPr>
        <w:t>招标方携带与重汽E采通上传一致的投标文件到开标现场，</w:t>
      </w:r>
      <w:r>
        <w:rPr>
          <w:rFonts w:hint="eastAsia" w:hAnsi="Courier New" w:eastAsia="宋体" w:cs="Times New Roman"/>
          <w:bCs/>
          <w:highlight w:val="none"/>
        </w:rPr>
        <w:t>所有</w:t>
      </w:r>
      <w:r>
        <w:rPr>
          <w:rFonts w:hint="eastAsia" w:cs="Times New Roman"/>
          <w:bCs/>
          <w:highlight w:val="none"/>
          <w:lang w:val="en-US" w:eastAsia="zh-CN"/>
        </w:rPr>
        <w:t>线下</w:t>
      </w:r>
      <w:r>
        <w:rPr>
          <w:rFonts w:hint="eastAsia" w:hAnsi="Courier New" w:eastAsia="宋体" w:cs="Times New Roman"/>
          <w:bCs/>
          <w:highlight w:val="none"/>
        </w:rPr>
        <w:t>投标文件需进行正规封装、胶装，不接受活页、散装等方式的投标文资料。</w:t>
      </w:r>
    </w:p>
    <w:p w14:paraId="270A4600">
      <w:pPr>
        <w:spacing w:line="360" w:lineRule="auto"/>
        <w:ind w:firstLine="420" w:firstLineChars="200"/>
        <w:rPr>
          <w:rFonts w:ascii="宋体" w:cs="宋体"/>
        </w:rPr>
      </w:pPr>
      <w:r>
        <w:rPr>
          <w:rFonts w:hint="eastAsia" w:hAnsi="Courier New" w:cs="Times New Roman"/>
          <w:b w:val="0"/>
          <w:bCs/>
          <w:highlight w:val="none"/>
          <w:lang w:val="en-US" w:eastAsia="zh-CN"/>
        </w:rPr>
        <w:t>（2）</w:t>
      </w:r>
      <w:r>
        <w:rPr>
          <w:rFonts w:hint="eastAsia" w:ascii="宋体" w:hAnsi="宋体" w:cs="宋体"/>
          <w:b w:val="0"/>
          <w:bCs/>
        </w:rPr>
        <w:t>投</w:t>
      </w:r>
      <w:r>
        <w:rPr>
          <w:rFonts w:hint="eastAsia" w:ascii="宋体" w:hAnsi="宋体" w:cs="宋体"/>
        </w:rPr>
        <w:t>标文件不得涂改和增删，如有修改错漏的地方，必须由法人代表或授权代表签字或盖章。</w:t>
      </w:r>
    </w:p>
    <w:p w14:paraId="297E3BE1">
      <w:pPr>
        <w:spacing w:line="360" w:lineRule="auto"/>
        <w:ind w:firstLine="420" w:firstLineChars="200"/>
        <w:rPr>
          <w:rFonts w:hint="eastAsia" w:ascii="宋体" w:hAnsi="宋体" w:cs="宋体"/>
          <w:b w:val="0"/>
          <w:bCs w:val="0"/>
        </w:rPr>
      </w:pPr>
      <w:r>
        <w:rPr>
          <w:rFonts w:hint="eastAsia" w:ascii="宋体" w:hAnsi="宋体" w:cs="宋体"/>
          <w:b w:val="0"/>
          <w:bCs w:val="0"/>
          <w:lang w:val="en-US" w:eastAsia="zh-CN"/>
        </w:rPr>
        <w:t>（3）</w:t>
      </w:r>
      <w:r>
        <w:rPr>
          <w:rFonts w:hint="eastAsia" w:ascii="宋体" w:hAnsi="宋体" w:cs="宋体"/>
          <w:b w:val="0"/>
          <w:bCs w:val="0"/>
        </w:rPr>
        <w:t>投标文件因字迹潦草或表达不清所引起的后果由投标人负责。</w:t>
      </w:r>
    </w:p>
    <w:p w14:paraId="088FE374">
      <w:pPr>
        <w:spacing w:line="360" w:lineRule="auto"/>
        <w:ind w:firstLine="420" w:firstLineChars="200"/>
        <w:rPr>
          <w:rFonts w:hint="eastAsia" w:ascii="宋体" w:hAnsi="宋体" w:cs="宋体"/>
          <w:lang w:val="en-US" w:eastAsia="zh-CN"/>
        </w:rPr>
      </w:pPr>
      <w:r>
        <w:rPr>
          <w:rFonts w:hint="eastAsia" w:ascii="宋体" w:hAnsi="宋体" w:cs="宋体"/>
          <w:b w:val="0"/>
          <w:bCs w:val="0"/>
          <w:lang w:val="en-US" w:eastAsia="zh-CN"/>
        </w:rPr>
        <w:t>（4）投标文件</w:t>
      </w:r>
      <w:r>
        <w:rPr>
          <w:rFonts w:hint="eastAsia" w:ascii="宋体" w:hAnsi="宋体" w:cs="宋体"/>
          <w:lang w:val="en-US" w:eastAsia="zh-CN"/>
        </w:rPr>
        <w:t>格式详见标书附件。</w:t>
      </w:r>
    </w:p>
    <w:p w14:paraId="3A3A4146">
      <w:pPr>
        <w:pStyle w:val="7"/>
        <w:spacing w:line="360" w:lineRule="auto"/>
        <w:rPr>
          <w:rFonts w:hint="eastAsia" w:ascii="黑体" w:eastAsia="黑体"/>
          <w:b/>
          <w:bCs/>
          <w:sz w:val="28"/>
        </w:rPr>
      </w:pPr>
      <w:r>
        <w:rPr>
          <w:rFonts w:hint="eastAsia" w:ascii="黑体" w:eastAsia="黑体"/>
          <w:b/>
          <w:bCs/>
          <w:sz w:val="28"/>
        </w:rPr>
        <w:t>七、投标、开标、评标</w:t>
      </w:r>
    </w:p>
    <w:p w14:paraId="0319ECED">
      <w:pPr>
        <w:pStyle w:val="7"/>
        <w:spacing w:line="360" w:lineRule="auto"/>
        <w:ind w:left="420" w:leftChars="200" w:firstLine="0" w:firstLineChars="0"/>
        <w:rPr>
          <w:rFonts w:hint="eastAsia"/>
          <w:b/>
          <w:bCs/>
          <w:lang w:val="en-US" w:eastAsia="zh-CN"/>
        </w:rPr>
      </w:pPr>
      <w:r>
        <w:rPr>
          <w:rFonts w:hint="eastAsia"/>
          <w:b/>
          <w:bCs/>
        </w:rPr>
        <w:t>1</w:t>
      </w:r>
      <w:r>
        <w:rPr>
          <w:rFonts w:hint="eastAsia"/>
          <w:b/>
          <w:bCs/>
          <w:lang w:eastAsia="zh-CN"/>
        </w:rPr>
        <w:t>、</w:t>
      </w:r>
      <w:r>
        <w:rPr>
          <w:rFonts w:hint="eastAsia"/>
          <w:b/>
          <w:bCs/>
          <w:lang w:val="en-US" w:eastAsia="zh-CN"/>
        </w:rPr>
        <w:t>评标流程</w:t>
      </w:r>
    </w:p>
    <w:p w14:paraId="1DCCFBF5">
      <w:pPr>
        <w:pStyle w:val="7"/>
        <w:spacing w:line="360" w:lineRule="auto"/>
        <w:ind w:firstLine="420" w:firstLineChars="200"/>
        <w:rPr>
          <w:rFonts w:hint="eastAsia"/>
          <w:highlight w:val="none"/>
        </w:rPr>
      </w:pPr>
      <w:r>
        <w:rPr>
          <w:rFonts w:hint="eastAsia"/>
        </w:rPr>
        <w:t>投标文件包含《投标文件（资质标）》</w:t>
      </w:r>
      <w:r>
        <w:rPr>
          <w:rFonts w:hint="eastAsia"/>
          <w:highlight w:val="none"/>
        </w:rPr>
        <w:t>、《投标文件（技术标）》、《投标文件（商务标）》（开标一览表），共计三个文件。</w:t>
      </w:r>
    </w:p>
    <w:p w14:paraId="787A8B94">
      <w:pPr>
        <w:pStyle w:val="7"/>
        <w:spacing w:line="360" w:lineRule="auto"/>
        <w:ind w:firstLine="420" w:firstLineChars="200"/>
        <w:rPr>
          <w:rFonts w:hint="eastAsia"/>
          <w:lang w:eastAsia="zh-CN"/>
        </w:rPr>
      </w:pPr>
      <w:r>
        <w:rPr>
          <w:rFonts w:hint="eastAsia"/>
        </w:rPr>
        <w:t>应标资格审查：在“中国重汽e采通”应标报名时，按照</w:t>
      </w:r>
      <w:r>
        <w:rPr>
          <w:rFonts w:hint="eastAsia"/>
          <w:lang w:val="en-US" w:eastAsia="zh-CN"/>
        </w:rPr>
        <w:t>前文应</w:t>
      </w:r>
      <w:r>
        <w:rPr>
          <w:rFonts w:hint="eastAsia"/>
        </w:rPr>
        <w:t>标文件组成资格证明文件中的</w:t>
      </w:r>
      <w:r>
        <w:rPr>
          <w:rFonts w:hint="eastAsia"/>
          <w:lang w:val="en-US" w:eastAsia="zh-CN"/>
        </w:rPr>
        <w:t>要求准备</w:t>
      </w:r>
      <w:r>
        <w:rPr>
          <w:rFonts w:hint="eastAsia"/>
        </w:rPr>
        <w:t>资料，上传完毕后，等待审核</w:t>
      </w:r>
      <w:r>
        <w:rPr>
          <w:rFonts w:hint="eastAsia"/>
          <w:lang w:eastAsia="zh-CN"/>
        </w:rPr>
        <w:t>。</w:t>
      </w:r>
    </w:p>
    <w:p w14:paraId="2D4BBE43">
      <w:pPr>
        <w:pStyle w:val="7"/>
        <w:spacing w:line="360" w:lineRule="auto"/>
        <w:ind w:firstLine="420" w:firstLineChars="200"/>
        <w:rPr>
          <w:rFonts w:hint="eastAsia"/>
        </w:rPr>
      </w:pPr>
      <w:r>
        <w:rPr>
          <w:rFonts w:hint="eastAsia"/>
        </w:rPr>
        <w:t>通过应标资格审查的单位进入投标环节，按照“SRM系统供应商用户手册”，在重汽e采通平台投递电子标书（包含资质标、技术标、商务标）；没有通过应标资质审查的单位不能进入投标环节；</w:t>
      </w:r>
      <w:r>
        <w:rPr>
          <w:rFonts w:hint="eastAsia"/>
          <w:b/>
          <w:bCs/>
        </w:rPr>
        <w:t>若逾期未完成重汽e采通上传标书，即便递交了纸版投标文件，一律视为无效投标。</w:t>
      </w:r>
    </w:p>
    <w:p w14:paraId="0713F6B6">
      <w:pPr>
        <w:pStyle w:val="7"/>
        <w:spacing w:line="360" w:lineRule="auto"/>
        <w:ind w:left="420" w:leftChars="200" w:firstLine="0" w:firstLineChars="0"/>
        <w:rPr>
          <w:rFonts w:hint="eastAsia"/>
          <w:lang w:val="en-US" w:eastAsia="zh-CN"/>
        </w:rPr>
      </w:pPr>
      <w:r>
        <w:rPr>
          <w:rFonts w:hint="eastAsia"/>
        </w:rPr>
        <w:t>资质标评审：资质标审核通过的单位，可以进入</w:t>
      </w:r>
      <w:r>
        <w:rPr>
          <w:rFonts w:hint="eastAsia"/>
          <w:lang w:val="en-US" w:eastAsia="zh-CN"/>
        </w:rPr>
        <w:t>技术标评审。</w:t>
      </w:r>
      <w:r>
        <w:rPr>
          <w:rFonts w:hint="eastAsia"/>
          <w:lang w:val="en-US" w:eastAsia="zh-CN"/>
        </w:rPr>
        <w:br w:type="textWrapping"/>
      </w:r>
      <w:r>
        <w:rPr>
          <w:rFonts w:hint="eastAsia"/>
          <w:lang w:val="en-US" w:eastAsia="zh-CN"/>
        </w:rPr>
        <w:t>技术标评审：投标人对技术标方案进行讲解、现场答疑，招标专家组成员对技术标进行评分。</w:t>
      </w:r>
    </w:p>
    <w:p w14:paraId="4A5A31C8">
      <w:pPr>
        <w:pStyle w:val="7"/>
        <w:spacing w:line="360" w:lineRule="auto"/>
        <w:ind w:firstLine="420" w:firstLineChars="200"/>
        <w:rPr>
          <w:rFonts w:hint="eastAsia"/>
        </w:rPr>
      </w:pPr>
      <w:r>
        <w:rPr>
          <w:rFonts w:hint="eastAsia"/>
        </w:rPr>
        <w:t>商务标评审：公开唱标→商务条款相应确认→价格澄清→商务标评审；公开唱标</w:t>
      </w:r>
      <w:r>
        <w:rPr>
          <w:rFonts w:hint="eastAsia"/>
          <w:lang w:val="en-US" w:eastAsia="zh-CN"/>
        </w:rPr>
        <w:t>时需</w:t>
      </w:r>
      <w:r>
        <w:rPr>
          <w:rFonts w:hint="eastAsia"/>
        </w:rPr>
        <w:t>公示资质标入围单位的开标价格及商务条款响应情况</w:t>
      </w:r>
      <w:r>
        <w:rPr>
          <w:rFonts w:hint="eastAsia"/>
          <w:lang w:eastAsia="zh-CN"/>
        </w:rPr>
        <w:t>。</w:t>
      </w:r>
      <w:r>
        <w:rPr>
          <w:rFonts w:hint="eastAsia"/>
          <w:lang w:val="en-US" w:eastAsia="zh-CN"/>
        </w:rPr>
        <w:t>专家组</w:t>
      </w:r>
      <w:r>
        <w:rPr>
          <w:rFonts w:hint="eastAsia"/>
        </w:rPr>
        <w:t>评审期间产生的商务价格澄清均由投标人在重汽e采通平台限时内完成提交</w:t>
      </w:r>
      <w:r>
        <w:rPr>
          <w:rFonts w:hint="eastAsia"/>
          <w:lang w:eastAsia="zh-CN"/>
        </w:rPr>
        <w:t>。</w:t>
      </w:r>
      <w:r>
        <w:rPr>
          <w:rFonts w:hint="eastAsia"/>
          <w:lang w:eastAsia="zh-CN"/>
        </w:rPr>
        <w:br w:type="textWrapping"/>
      </w:r>
      <w:r>
        <w:rPr>
          <w:rFonts w:hint="eastAsia"/>
          <w:lang w:val="en-US" w:eastAsia="zh-CN"/>
        </w:rPr>
        <w:t xml:space="preserve">    </w:t>
      </w:r>
      <w:r>
        <w:rPr>
          <w:rFonts w:hint="eastAsia"/>
        </w:rPr>
        <w:t>注意：投标人均需要自带笔记本电脑在重汽e采通进行自主投标和提交澄清函；投标和提交澄清函均有时间限制，超时未提交的按无效处理。</w:t>
      </w:r>
    </w:p>
    <w:p w14:paraId="0843B74B">
      <w:pPr>
        <w:pStyle w:val="7"/>
        <w:spacing w:line="360" w:lineRule="auto"/>
        <w:ind w:firstLine="422" w:firstLineChars="200"/>
        <w:rPr>
          <w:rFonts w:hint="eastAsia"/>
          <w:b/>
          <w:bCs/>
          <w:lang w:val="en-US" w:eastAsia="zh-CN"/>
        </w:rPr>
      </w:pPr>
      <w:r>
        <w:rPr>
          <w:rFonts w:hint="eastAsia"/>
          <w:b/>
          <w:bCs/>
          <w:lang w:val="en-US" w:eastAsia="zh-CN"/>
        </w:rPr>
        <w:t>2、投标</w:t>
      </w:r>
    </w:p>
    <w:p w14:paraId="2E874178">
      <w:pPr>
        <w:keepNext w:val="0"/>
        <w:keepLines w:val="0"/>
        <w:pageBreakBefore w:val="0"/>
        <w:widowControl w:val="0"/>
        <w:kinsoku/>
        <w:wordWrap/>
        <w:overflowPunct/>
        <w:topLinePunct w:val="0"/>
        <w:autoSpaceDE/>
        <w:autoSpaceDN/>
        <w:bidi w:val="0"/>
        <w:adjustRightInd w:val="0"/>
        <w:snapToGrid w:val="0"/>
        <w:spacing w:line="360" w:lineRule="auto"/>
        <w:ind w:left="420" w:leftChars="200" w:firstLine="0" w:firstLineChars="0"/>
        <w:textAlignment w:val="auto"/>
        <w:rPr>
          <w:rFonts w:hint="default"/>
          <w:b/>
          <w:bCs/>
          <w:lang w:val="en-US" w:eastAsia="zh-CN"/>
        </w:rPr>
      </w:pPr>
      <w:r>
        <w:rPr>
          <w:rFonts w:hint="eastAsia"/>
          <w:b/>
          <w:bCs/>
          <w:lang w:val="en-US" w:eastAsia="zh-CN"/>
        </w:rPr>
        <w:t>2.1应标环节</w:t>
      </w:r>
    </w:p>
    <w:p w14:paraId="6FA5AF67">
      <w:p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在“中国重汽e采通”应标报名时，应标期间在E采通必传的资料：供方资质、企业简介、项目业绩、其他</w:t>
      </w:r>
      <w:r>
        <w:rPr>
          <w:rFonts w:hint="eastAsia" w:ascii="宋体" w:hAnsi="宋体" w:eastAsia="宋体" w:cs="宋体"/>
          <w:lang w:val="en-US" w:eastAsia="zh-CN"/>
        </w:rPr>
        <w:br w:type="textWrapping"/>
      </w:r>
      <w:r>
        <w:rPr>
          <w:rFonts w:hint="eastAsia" w:ascii="宋体" w:hAnsi="宋体" w:eastAsia="宋体" w:cs="宋体"/>
          <w:lang w:val="en-US" w:eastAsia="zh-CN"/>
        </w:rPr>
        <w:t xml:space="preserve">   （1）供方资质：</w:t>
      </w:r>
    </w:p>
    <w:p w14:paraId="71616115">
      <w:pPr>
        <w:spacing w:line="360" w:lineRule="auto"/>
        <w:rPr>
          <w:rFonts w:hint="eastAsia" w:ascii="宋体" w:hAnsi="宋体" w:eastAsia="宋体" w:cs="宋体"/>
          <w:lang w:val="en-US" w:eastAsia="zh-CN"/>
        </w:rPr>
      </w:pPr>
      <w:r>
        <w:rPr>
          <w:rFonts w:hint="eastAsia" w:ascii="宋体" w:hAnsi="宋体" w:eastAsia="宋体" w:cs="宋体"/>
          <w:lang w:val="en-US" w:eastAsia="zh-CN"/>
        </w:rPr>
        <w:t>a)经年检合格的企业法人营业执照副本扫描件。</w:t>
      </w:r>
    </w:p>
    <w:p w14:paraId="3AB2C4F6">
      <w:pPr>
        <w:spacing w:line="360" w:lineRule="auto"/>
        <w:rPr>
          <w:rFonts w:hint="eastAsia" w:ascii="宋体" w:hAnsi="宋体" w:eastAsia="宋体" w:cs="宋体"/>
          <w:lang w:val="en-US" w:eastAsia="zh-CN"/>
        </w:rPr>
      </w:pPr>
      <w:r>
        <w:rPr>
          <w:rFonts w:hint="eastAsia" w:ascii="宋体" w:hAnsi="宋体" w:eastAsia="宋体" w:cs="宋体"/>
          <w:lang w:val="en-US" w:eastAsia="zh-CN"/>
        </w:rPr>
        <w:t>b)法定代表人授权书及身份证复印件[被授权人身份证复印件（复印件需加盖公章）]，如现场招标请携带被授权人身份证原件，需现场查验。</w:t>
      </w:r>
    </w:p>
    <w:p w14:paraId="54EB3E80">
      <w:pPr>
        <w:spacing w:line="360" w:lineRule="auto"/>
        <w:rPr>
          <w:rFonts w:hint="eastAsia" w:ascii="宋体" w:hAnsi="宋体" w:eastAsia="宋体" w:cs="宋体"/>
          <w:lang w:val="en-US" w:eastAsia="zh-CN"/>
        </w:rPr>
      </w:pPr>
      <w:r>
        <w:rPr>
          <w:rFonts w:hint="eastAsia" w:ascii="宋体" w:hAnsi="宋体" w:eastAsia="宋体" w:cs="宋体"/>
          <w:lang w:val="en-US" w:eastAsia="zh-CN"/>
        </w:rPr>
        <w:t>c)企业资质等级证书及与项目有关资质证明（如有，请提供）</w:t>
      </w:r>
    </w:p>
    <w:p w14:paraId="0BF8FAD8">
      <w:pPr>
        <w:spacing w:line="360" w:lineRule="auto"/>
        <w:rPr>
          <w:rFonts w:hint="eastAsia" w:ascii="宋体" w:hAnsi="宋体" w:eastAsia="宋体" w:cs="宋体"/>
          <w:lang w:val="en-US" w:eastAsia="zh-CN"/>
        </w:rPr>
      </w:pPr>
      <w:r>
        <w:rPr>
          <w:rFonts w:hint="eastAsia" w:ascii="宋体" w:hAnsi="宋体" w:eastAsia="宋体" w:cs="宋体"/>
          <w:lang w:val="en-US" w:eastAsia="zh-CN"/>
        </w:rPr>
        <w:t>e)安全资格证（如有，请提供），施工人员的相关证明材料及操作证。</w:t>
      </w:r>
    </w:p>
    <w:p w14:paraId="12C17A1D">
      <w:pPr>
        <w:spacing w:line="360" w:lineRule="auto"/>
        <w:rPr>
          <w:rFonts w:hint="eastAsia" w:ascii="宋体" w:hAnsi="宋体" w:eastAsia="宋体" w:cs="宋体"/>
          <w:lang w:val="en-US" w:eastAsia="zh-CN"/>
        </w:rPr>
      </w:pPr>
      <w:r>
        <w:rPr>
          <w:rFonts w:hint="eastAsia" w:ascii="宋体" w:hAnsi="宋体" w:eastAsia="宋体" w:cs="宋体"/>
          <w:lang w:val="en-US" w:eastAsia="zh-CN"/>
        </w:rPr>
        <w:t>d)提供投标人基本付款信息</w:t>
      </w:r>
    </w:p>
    <w:p w14:paraId="285FEA96">
      <w:pPr>
        <w:spacing w:line="360" w:lineRule="auto"/>
        <w:rPr>
          <w:rFonts w:hint="default" w:ascii="宋体" w:hAnsi="宋体" w:eastAsia="宋体" w:cs="宋体"/>
          <w:lang w:val="en-US" w:eastAsia="zh-CN"/>
        </w:rPr>
      </w:pPr>
      <w:r>
        <w:rPr>
          <w:rFonts w:hint="eastAsia" w:ascii="宋体" w:hAnsi="宋体" w:eastAsia="宋体" w:cs="宋体"/>
          <w:lang w:val="en-US" w:eastAsia="zh-CN"/>
        </w:rPr>
        <w:t>e)其他相关文件</w:t>
      </w:r>
    </w:p>
    <w:p w14:paraId="359D98BE">
      <w:p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（2）企业简介：</w:t>
      </w:r>
    </w:p>
    <w:p w14:paraId="2C5488BC">
      <w:pPr>
        <w:spacing w:line="360" w:lineRule="auto"/>
        <w:ind w:firstLine="420" w:firstLineChars="200"/>
        <w:rPr>
          <w:rFonts w:hint="default" w:ascii="宋体" w:hAnsi="宋体" w:eastAsia="宋体" w:cs="宋体"/>
          <w:lang w:val="en-US" w:eastAsia="zh-CN"/>
        </w:rPr>
      </w:pPr>
      <w:r>
        <w:rPr>
          <w:rFonts w:hint="eastAsia" w:ascii="宋体" w:hAnsi="宋体" w:eastAsia="宋体" w:cs="宋体"/>
          <w:lang w:val="en-US" w:eastAsia="zh-CN"/>
        </w:rPr>
        <w:t>企业介绍与说明有何重大奖项、发明等。</w:t>
      </w:r>
    </w:p>
    <w:p w14:paraId="5B4F7A1A">
      <w:pPr>
        <w:spacing w:line="360"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（3）项目业绩：</w:t>
      </w:r>
    </w:p>
    <w:p w14:paraId="49E69A2B">
      <w:pPr>
        <w:spacing w:line="360" w:lineRule="auto"/>
        <w:ind w:firstLine="420"/>
        <w:rPr>
          <w:rFonts w:hint="eastAsia" w:ascii="宋体" w:hAnsi="宋体" w:eastAsia="宋体" w:cs="宋体"/>
          <w:lang w:val="en-US" w:eastAsia="zh-CN"/>
        </w:rPr>
      </w:pPr>
      <w:r>
        <w:rPr>
          <w:rFonts w:hint="eastAsia" w:ascii="宋体" w:hAnsi="宋体" w:eastAsia="宋体" w:cs="宋体"/>
          <w:lang w:val="en-US" w:eastAsia="zh-CN"/>
        </w:rPr>
        <w:t xml:space="preserve">提供与本次招标相同类似业绩表及合同文本（扫描版）。 </w:t>
      </w:r>
    </w:p>
    <w:p w14:paraId="52EC2D02">
      <w:pPr>
        <w:pStyle w:val="7"/>
        <w:spacing w:line="360" w:lineRule="auto"/>
        <w:ind w:firstLine="420" w:firstLineChars="200"/>
        <w:rPr>
          <w:rFonts w:hint="default" w:ascii="宋体" w:hAnsi="宋体" w:eastAsia="宋体" w:cs="宋体"/>
          <w:kern w:val="2"/>
          <w:sz w:val="21"/>
          <w:lang w:val="en-US" w:eastAsia="zh-CN" w:bidi="ar-SA"/>
        </w:rPr>
      </w:pPr>
      <w:r>
        <w:rPr>
          <w:rFonts w:hint="eastAsia"/>
          <w:lang w:val="en-US" w:eastAsia="zh-CN"/>
        </w:rPr>
        <w:t>（4）其他：</w:t>
      </w:r>
      <w:r>
        <w:rPr>
          <w:rFonts w:hint="eastAsia" w:ascii="宋体" w:hAnsi="宋体" w:eastAsia="宋体" w:cs="宋体"/>
          <w:kern w:val="2"/>
          <w:sz w:val="21"/>
          <w:lang w:val="en-US" w:eastAsia="zh-CN" w:bidi="ar-SA"/>
        </w:rPr>
        <w:t>可参考“资质文件”其他要求，或招标方另有约束。</w:t>
      </w:r>
    </w:p>
    <w:p w14:paraId="0E6DDECD">
      <w:pPr>
        <w:spacing w:line="360" w:lineRule="auto"/>
        <w:rPr>
          <w:rFonts w:hint="default" w:ascii="宋体" w:hAnsi="宋体" w:eastAsia="宋体" w:cs="宋体"/>
          <w:b/>
          <w:bCs/>
          <w:lang w:val="en-US" w:eastAsia="zh-CN"/>
        </w:rPr>
      </w:pPr>
      <w:r>
        <w:rPr>
          <w:rFonts w:hint="eastAsia" w:ascii="宋体" w:hAnsi="宋体" w:eastAsia="宋体" w:cs="宋体"/>
          <w:b/>
          <w:bCs/>
          <w:lang w:val="en-US" w:eastAsia="zh-CN"/>
        </w:rPr>
        <w:t>* 资质标审核通过的单位，可以进入投标环节。没有通过应标资质审查的单位不能进入投标环节。</w:t>
      </w:r>
    </w:p>
    <w:p w14:paraId="3E48FB64">
      <w:pPr>
        <w:numPr>
          <w:ilvl w:val="0"/>
          <w:numId w:val="0"/>
        </w:numPr>
        <w:spacing w:line="360" w:lineRule="auto"/>
        <w:ind w:left="210" w:leftChars="100" w:firstLine="211" w:firstLineChars="100"/>
        <w:rPr>
          <w:rFonts w:hint="eastAsia" w:ascii="Times New Roman" w:hAnsi="Times New Roman" w:eastAsia="宋体" w:cs="Times New Roman"/>
          <w:b/>
          <w:bCs/>
          <w:kern w:val="2"/>
          <w:sz w:val="21"/>
          <w:lang w:val="en-US" w:eastAsia="zh-CN" w:bidi="ar-SA"/>
        </w:rPr>
      </w:pPr>
      <w:r>
        <w:rPr>
          <w:rFonts w:hint="eastAsia" w:ascii="Times New Roman" w:hAnsi="Times New Roman" w:eastAsia="宋体" w:cs="Times New Roman"/>
          <w:b/>
          <w:bCs/>
          <w:kern w:val="2"/>
          <w:sz w:val="21"/>
          <w:lang w:val="en-US" w:eastAsia="zh-CN" w:bidi="ar-SA"/>
        </w:rPr>
        <w:t>2.2投标环节</w:t>
      </w:r>
    </w:p>
    <w:p w14:paraId="632B87C6">
      <w:pPr>
        <w:numPr>
          <w:ilvl w:val="0"/>
          <w:numId w:val="0"/>
        </w:numPr>
        <w:spacing w:line="360" w:lineRule="auto"/>
        <w:ind w:firstLine="420" w:firstLineChars="200"/>
        <w:rPr>
          <w:rFonts w:hint="default" w:ascii="宋体" w:hAnsi="宋体" w:eastAsia="宋体" w:cs="宋体"/>
          <w:kern w:val="2"/>
          <w:sz w:val="21"/>
          <w:lang w:val="en-US" w:eastAsia="zh-CN" w:bidi="ar-SA"/>
        </w:rPr>
      </w:pPr>
      <w:r>
        <w:rPr>
          <w:rFonts w:hint="eastAsia" w:ascii="宋体" w:hAnsi="宋体" w:eastAsia="宋体" w:cs="宋体"/>
          <w:kern w:val="2"/>
          <w:sz w:val="21"/>
          <w:lang w:val="en-US" w:eastAsia="zh-CN" w:bidi="ar-SA"/>
        </w:rPr>
        <w:t>通过应标环节审查的单位进入投标环节，在重汽e采通平台投递电子标书（包含商务标、资质文件、三年财务报告、其他、年度纳税评价信息、对外担保说明（有提供）、企业对外担保说明），按文件上传要求分类上传。</w:t>
      </w:r>
    </w:p>
    <w:p w14:paraId="3D9517DF">
      <w:pPr>
        <w:numPr>
          <w:ilvl w:val="0"/>
          <w:numId w:val="0"/>
        </w:numPr>
        <w:spacing w:line="360" w:lineRule="auto"/>
        <w:rPr>
          <w:rFonts w:hint="default" w:ascii="宋体" w:hAnsi="宋体" w:cs="宋体"/>
          <w:lang w:val="en-US" w:eastAsia="zh-CN"/>
        </w:rPr>
      </w:pPr>
      <w:r>
        <w:rPr>
          <w:rFonts w:hint="eastAsia" w:ascii="宋体" w:hAnsi="宋体" w:cs="宋体"/>
          <w:b/>
          <w:bCs/>
          <w:color w:val="auto"/>
          <w:lang w:val="en-US" w:eastAsia="zh-CN"/>
        </w:rPr>
        <w:t>（1）商务标：</w:t>
      </w:r>
      <w:r>
        <w:rPr>
          <w:rFonts w:hint="eastAsia" w:ascii="宋体" w:hAnsi="宋体" w:cs="宋体"/>
          <w:lang w:val="en-US" w:eastAsia="zh-CN"/>
        </w:rPr>
        <w:t>投标文件、开标一览表</w:t>
      </w:r>
    </w:p>
    <w:p w14:paraId="5BB60FDB">
      <w:pPr>
        <w:numPr>
          <w:ilvl w:val="0"/>
          <w:numId w:val="0"/>
        </w:numPr>
        <w:spacing w:line="360" w:lineRule="auto"/>
        <w:rPr>
          <w:rFonts w:hint="default" w:ascii="宋体" w:hAnsi="宋体" w:cs="宋体"/>
          <w:lang w:val="en-US" w:eastAsia="zh-CN"/>
        </w:rPr>
      </w:pPr>
      <w:r>
        <w:rPr>
          <w:rFonts w:hint="eastAsia" w:ascii="宋体" w:hAnsi="宋体" w:cs="宋体"/>
          <w:b/>
          <w:bCs/>
          <w:lang w:val="en-US" w:eastAsia="zh-CN"/>
        </w:rPr>
        <w:t>（2）资质文件：</w:t>
      </w:r>
      <w:r>
        <w:rPr>
          <w:rFonts w:hint="eastAsia" w:ascii="宋体" w:hAnsi="宋体" w:cs="宋体"/>
          <w:lang w:val="en-US" w:eastAsia="zh-CN"/>
        </w:rPr>
        <w:t>与应标资质文件相同</w:t>
      </w:r>
    </w:p>
    <w:p w14:paraId="6D18066A">
      <w:pPr>
        <w:numPr>
          <w:ilvl w:val="0"/>
          <w:numId w:val="0"/>
        </w:numPr>
        <w:spacing w:line="360" w:lineRule="auto"/>
        <w:rPr>
          <w:rFonts w:hint="eastAsia" w:ascii="宋体" w:hAnsi="宋体" w:cs="宋体"/>
        </w:rPr>
      </w:pPr>
      <w:r>
        <w:rPr>
          <w:rFonts w:hint="eastAsia" w:ascii="宋体" w:hAnsi="宋体" w:cs="宋体"/>
          <w:b/>
          <w:bCs/>
          <w:lang w:val="en-US" w:eastAsia="zh-CN"/>
        </w:rPr>
        <w:t>（3）三年财务报告：</w:t>
      </w:r>
      <w:r>
        <w:rPr>
          <w:rFonts w:hint="eastAsia" w:ascii="宋体" w:hAnsi="宋体" w:cs="宋体"/>
        </w:rPr>
        <w:t>经会计师事务所审计且出具无保留意见的近三年的（</w:t>
      </w:r>
      <w:r>
        <w:rPr>
          <w:rFonts w:hint="eastAsia" w:ascii="宋体" w:hAnsi="宋体" w:cs="宋体"/>
          <w:lang w:val="en-US" w:eastAsia="zh-CN"/>
        </w:rPr>
        <w:t>2023</w:t>
      </w:r>
      <w:r>
        <w:rPr>
          <w:rFonts w:hint="eastAsia" w:ascii="宋体" w:hAnsi="宋体" w:cs="宋体"/>
        </w:rPr>
        <w:t>年后）财务审计报告原件，并加盖公章，包括但不限于报告页、经审计的资产负债表、利润表、现金流量表及报表附注。如投标人公司没有经审计的财务报告，可提供加盖公章的近三年财务报表（</w:t>
      </w:r>
      <w:r>
        <w:rPr>
          <w:rFonts w:hint="eastAsia" w:ascii="宋体" w:hAnsi="宋体" w:cs="宋体"/>
          <w:lang w:val="en-US" w:eastAsia="zh-CN"/>
        </w:rPr>
        <w:t>2023</w:t>
      </w:r>
      <w:r>
        <w:rPr>
          <w:rFonts w:hint="eastAsia" w:ascii="宋体" w:hAnsi="宋体" w:cs="宋体"/>
        </w:rPr>
        <w:t>年后），包括但不限于资产负债表、利润表、现金流量表。应提供中文版本的审计报告或财务报表；</w:t>
      </w:r>
    </w:p>
    <w:p w14:paraId="1A8DF832">
      <w:pPr>
        <w:numPr>
          <w:ilvl w:val="0"/>
          <w:numId w:val="0"/>
        </w:numPr>
        <w:spacing w:line="360" w:lineRule="auto"/>
        <w:rPr>
          <w:rFonts w:ascii="宋体" w:hAnsi="宋体" w:cs="宋体"/>
        </w:rPr>
      </w:pPr>
      <w:r>
        <w:rPr>
          <w:rFonts w:hint="eastAsia" w:ascii="宋体" w:hAnsi="宋体" w:cs="宋体"/>
          <w:b/>
          <w:bCs/>
          <w:lang w:val="en-US" w:eastAsia="zh-CN"/>
        </w:rPr>
        <w:t>（4）其他</w:t>
      </w:r>
      <w:r>
        <w:rPr>
          <w:rFonts w:hint="eastAsia" w:ascii="宋体" w:hAnsi="宋体" w:cs="宋体"/>
          <w:lang w:val="en-US" w:eastAsia="zh-CN"/>
        </w:rPr>
        <w:t>：企业或法人提供的招标授权书、</w:t>
      </w:r>
      <w:r>
        <w:rPr>
          <w:rFonts w:hint="eastAsia" w:ascii="宋体" w:hAnsi="宋体" w:cs="宋体"/>
        </w:rPr>
        <w:t>企业最近半年完税证明、信用证明材料（征信报告）；</w:t>
      </w:r>
    </w:p>
    <w:p w14:paraId="6AA0A60D">
      <w:pPr>
        <w:spacing w:line="360" w:lineRule="auto"/>
        <w:rPr>
          <w:rFonts w:hint="eastAsia" w:ascii="宋体" w:hAnsi="宋体" w:cs="宋体"/>
        </w:rPr>
      </w:pPr>
      <w:r>
        <w:rPr>
          <w:rFonts w:hint="eastAsia" w:ascii="宋体" w:hAnsi="宋体" w:cs="宋体"/>
          <w:b/>
          <w:bCs/>
          <w:lang w:val="en-US" w:eastAsia="zh-CN"/>
        </w:rPr>
        <w:t>（5）</w:t>
      </w:r>
      <w:r>
        <w:rPr>
          <w:rFonts w:hint="eastAsia" w:ascii="宋体" w:hAnsi="宋体" w:cs="宋体"/>
          <w:b/>
          <w:bCs/>
        </w:rPr>
        <w:t>年度纳税信用评价信息</w:t>
      </w:r>
      <w:r>
        <w:rPr>
          <w:rFonts w:hint="eastAsia" w:ascii="宋体" w:hAnsi="宋体" w:cs="宋体"/>
          <w:b/>
          <w:bCs/>
          <w:lang w:eastAsia="zh-CN"/>
        </w:rPr>
        <w:t>：</w:t>
      </w:r>
      <w:r>
        <w:rPr>
          <w:rFonts w:hint="eastAsia" w:ascii="宋体" w:hAnsi="宋体" w:cs="宋体"/>
        </w:rPr>
        <w:t>（可从电子税务局查询截图，需加盖公章）；</w:t>
      </w:r>
    </w:p>
    <w:p w14:paraId="67C84D8C">
      <w:pPr>
        <w:spacing w:line="360" w:lineRule="auto"/>
        <w:rPr>
          <w:rFonts w:ascii="宋体" w:hAnsi="宋体" w:cs="宋体"/>
          <w:b/>
        </w:rPr>
      </w:pPr>
      <w:r>
        <w:rPr>
          <w:rFonts w:hint="eastAsia" w:ascii="宋体" w:hAnsi="宋体" w:cs="宋体"/>
          <w:b/>
          <w:bCs/>
          <w:lang w:val="en-US" w:eastAsia="zh-CN"/>
        </w:rPr>
        <w:t>（6）</w:t>
      </w:r>
      <w:r>
        <w:rPr>
          <w:rFonts w:hint="eastAsia" w:ascii="宋体" w:hAnsi="宋体" w:cs="宋体"/>
          <w:b/>
          <w:bCs/>
        </w:rPr>
        <w:t>对外担保说明</w:t>
      </w:r>
      <w:r>
        <w:rPr>
          <w:rFonts w:hint="eastAsia" w:ascii="宋体" w:hAnsi="宋体" w:cs="宋体"/>
          <w:b/>
          <w:bCs/>
          <w:lang w:eastAsia="zh-CN"/>
        </w:rPr>
        <w:t>：</w:t>
      </w:r>
      <w:r>
        <w:rPr>
          <w:rFonts w:hint="eastAsia" w:ascii="宋体" w:hAnsi="宋体" w:cs="宋体"/>
        </w:rPr>
        <w:t>（写明贵单位对外有无对外担保和质押业务，需加盖公章）。</w:t>
      </w:r>
    </w:p>
    <w:p w14:paraId="612CECC4">
      <w:pPr>
        <w:spacing w:line="360" w:lineRule="auto"/>
        <w:ind w:firstLine="420" w:firstLineChars="200"/>
        <w:rPr>
          <w:rFonts w:hint="eastAsia" w:ascii="宋体" w:hAnsi="宋体" w:cs="宋体"/>
          <w:bCs/>
        </w:rPr>
      </w:pPr>
      <w:r>
        <w:rPr>
          <w:rFonts w:hint="eastAsia" w:ascii="宋体" w:hAnsi="宋体" w:cs="宋体"/>
          <w:bCs/>
        </w:rPr>
        <w:t>以上内容合定扫描到资质文件当中。投标人提供的以上材料必须真实有效，任何一项的虚假将导致其投标文件被拒绝。</w:t>
      </w:r>
    </w:p>
    <w:p w14:paraId="3B15CC21">
      <w:pPr>
        <w:spacing w:line="360" w:lineRule="auto"/>
        <w:ind w:left="420" w:leftChars="200" w:firstLine="0" w:firstLineChars="0"/>
        <w:rPr>
          <w:rFonts w:hint="eastAsia" w:ascii="宋体" w:hAnsi="宋体" w:eastAsia="宋体" w:cs="宋体"/>
          <w:b/>
          <w:bCs w:val="0"/>
          <w:lang w:val="en-US" w:eastAsia="zh-CN"/>
        </w:rPr>
      </w:pPr>
      <w:r>
        <w:rPr>
          <w:rFonts w:hint="eastAsia" w:ascii="宋体" w:hAnsi="宋体" w:eastAsia="宋体" w:cs="宋体"/>
          <w:b/>
          <w:bCs w:val="0"/>
          <w:lang w:val="en-US" w:eastAsia="zh-CN"/>
        </w:rPr>
        <w:t>2.3招标澄清：</w:t>
      </w:r>
    </w:p>
    <w:p w14:paraId="74B5F812">
      <w:pPr>
        <w:spacing w:line="360" w:lineRule="auto"/>
        <w:ind w:firstLine="420" w:firstLineChars="200"/>
        <w:rPr>
          <w:rFonts w:hint="default" w:ascii="宋体" w:hAnsi="宋体" w:eastAsia="宋体" w:cs="宋体"/>
          <w:bCs/>
          <w:lang w:val="en-US" w:eastAsia="zh-CN"/>
        </w:rPr>
      </w:pPr>
      <w:r>
        <w:rPr>
          <w:rFonts w:hint="eastAsia" w:ascii="宋体" w:hAnsi="宋体" w:eastAsia="宋体" w:cs="宋体"/>
          <w:bCs/>
          <w:lang w:val="en-US" w:eastAsia="zh-CN"/>
        </w:rPr>
        <w:t>招标人对已发出的招标文件进行必要的澄清或者修改的，在招标文件要求提交招标文件截止时间至少3日前以书面形式通知所有投标人。</w:t>
      </w:r>
    </w:p>
    <w:p w14:paraId="4E3A1A95">
      <w:pPr>
        <w:pStyle w:val="7"/>
        <w:spacing w:line="360" w:lineRule="auto"/>
        <w:ind w:firstLine="422" w:firstLineChars="200"/>
        <w:rPr>
          <w:rFonts w:hint="eastAsia"/>
          <w:b/>
          <w:bCs/>
        </w:rPr>
      </w:pPr>
      <w:r>
        <w:rPr>
          <w:rFonts w:hint="eastAsia"/>
          <w:b/>
          <w:bCs/>
          <w:lang w:val="en-US" w:eastAsia="zh-CN"/>
        </w:rPr>
        <w:t>2.4投标</w:t>
      </w:r>
      <w:r>
        <w:rPr>
          <w:rFonts w:hint="eastAsia"/>
          <w:b/>
          <w:bCs/>
        </w:rPr>
        <w:t>投标保证金</w:t>
      </w:r>
      <w:r>
        <w:rPr>
          <w:rFonts w:hint="eastAsia"/>
          <w:b/>
          <w:bCs/>
          <w:lang w:val="en-US" w:eastAsia="zh-CN"/>
        </w:rPr>
        <w:t>缴纳</w:t>
      </w:r>
      <w:r>
        <w:rPr>
          <w:rFonts w:hint="eastAsia"/>
          <w:b/>
          <w:bCs/>
        </w:rPr>
        <w:t>：</w:t>
      </w:r>
    </w:p>
    <w:p w14:paraId="4A581037">
      <w:pPr>
        <w:pStyle w:val="22"/>
        <w:pageBreakBefore w:val="0"/>
        <w:kinsoku/>
        <w:wordWrap/>
        <w:overflowPunct/>
        <w:topLinePunct w:val="0"/>
        <w:bidi w:val="0"/>
        <w:spacing w:line="520" w:lineRule="exact"/>
        <w:ind w:firstLine="600"/>
        <w:textAlignment w:val="auto"/>
        <w:rPr>
          <w:rFonts w:hint="eastAsia" w:ascii="宋体" w:hAnsi="Courier New" w:eastAsia="宋体" w:cs="Times New Roman"/>
          <w:b/>
          <w:bCs/>
          <w:color w:val="auto"/>
          <w:kern w:val="2"/>
          <w:sz w:val="21"/>
          <w:szCs w:val="20"/>
          <w:lang w:val="en-US" w:eastAsia="zh-CN" w:bidi="ar-SA"/>
        </w:rPr>
      </w:pPr>
      <w:r>
        <w:rPr>
          <w:rFonts w:hint="eastAsia" w:ascii="宋体" w:hAnsi="Courier New" w:eastAsia="宋体" w:cs="Times New Roman"/>
          <w:b/>
          <w:bCs/>
          <w:color w:val="auto"/>
          <w:kern w:val="2"/>
          <w:sz w:val="21"/>
          <w:szCs w:val="20"/>
          <w:lang w:val="en-US" w:eastAsia="zh-CN" w:bidi="ar-SA"/>
        </w:rPr>
        <w:t>投标人应提交人民币5000元 投标保证金，电子回单请注明：（</w:t>
      </w:r>
      <w:r>
        <w:rPr>
          <w:rFonts w:hint="eastAsia" w:ascii="宋体" w:hAnsi="Courier New" w:eastAsia="宋体" w:cs="Times New Roman"/>
          <w:b/>
          <w:bCs/>
          <w:color w:val="auto"/>
          <w:kern w:val="2"/>
          <w:sz w:val="21"/>
          <w:szCs w:val="20"/>
          <w:highlight w:val="lightGray"/>
          <w:lang w:val="en-US" w:eastAsia="zh-CN" w:bidi="ar-SA"/>
        </w:rPr>
        <w:t>设备动能部（王艳）</w:t>
      </w:r>
      <w:r>
        <w:rPr>
          <w:rFonts w:hint="eastAsia" w:hAnsi="Courier New" w:eastAsia="宋体" w:cs="Times New Roman"/>
          <w:b/>
          <w:bCs/>
          <w:color w:val="auto"/>
          <w:kern w:val="2"/>
          <w:sz w:val="21"/>
          <w:szCs w:val="20"/>
          <w:highlight w:val="lightGray"/>
          <w:lang w:val="en-US" w:eastAsia="zh-CN" w:bidi="ar-SA"/>
        </w:rPr>
        <w:t>事故风机与报警装置联锁改造项目</w:t>
      </w:r>
      <w:r>
        <w:rPr>
          <w:rFonts w:hint="eastAsia" w:ascii="宋体" w:hAnsi="Courier New" w:eastAsia="宋体" w:cs="Times New Roman"/>
          <w:b/>
          <w:bCs/>
          <w:color w:val="auto"/>
          <w:kern w:val="2"/>
          <w:sz w:val="21"/>
          <w:szCs w:val="20"/>
          <w:highlight w:val="lightGray"/>
          <w:lang w:val="en-US" w:eastAsia="zh-CN" w:bidi="ar-SA"/>
        </w:rPr>
        <w:t>投标保证金</w:t>
      </w:r>
      <w:r>
        <w:rPr>
          <w:rFonts w:hint="eastAsia" w:ascii="宋体" w:hAnsi="Courier New" w:eastAsia="宋体" w:cs="Times New Roman"/>
          <w:b/>
          <w:bCs/>
          <w:color w:val="auto"/>
          <w:kern w:val="2"/>
          <w:sz w:val="21"/>
          <w:szCs w:val="20"/>
          <w:lang w:val="en-US" w:eastAsia="zh-CN" w:bidi="ar-SA"/>
        </w:rPr>
        <w:t>）</w:t>
      </w:r>
      <w:r>
        <w:rPr>
          <w:rFonts w:hint="eastAsia" w:ascii="宋体" w:hAnsi="Courier New" w:eastAsia="宋体" w:cs="Times New Roman"/>
          <w:b/>
          <w:bCs/>
          <w:color w:val="auto"/>
          <w:kern w:val="2"/>
          <w:sz w:val="21"/>
          <w:szCs w:val="20"/>
          <w:lang w:val="en-US" w:eastAsia="zh-CN" w:bidi="ar-SA"/>
        </w:rPr>
        <w:br w:type="textWrapping"/>
      </w:r>
      <w:r>
        <w:rPr>
          <w:rFonts w:hint="eastAsia" w:hAnsi="Courier New" w:eastAsia="宋体" w:cs="Times New Roman"/>
          <w:color w:val="auto"/>
          <w:kern w:val="2"/>
          <w:sz w:val="21"/>
          <w:szCs w:val="20"/>
          <w:lang w:val="en-US" w:eastAsia="zh-CN" w:bidi="ar-SA"/>
        </w:rPr>
        <w:tab/>
      </w:r>
      <w:r>
        <w:rPr>
          <w:rFonts w:hint="eastAsia" w:ascii="宋体" w:hAnsi="Courier New" w:eastAsia="宋体" w:cs="Times New Roman"/>
          <w:b/>
          <w:bCs/>
          <w:color w:val="auto"/>
          <w:kern w:val="2"/>
          <w:sz w:val="21"/>
          <w:szCs w:val="20"/>
          <w:lang w:val="en-US" w:eastAsia="zh-CN" w:bidi="ar-SA"/>
        </w:rPr>
        <w:t>投币保证金交付形式：电汇。</w:t>
      </w:r>
      <w:r>
        <w:rPr>
          <w:rFonts w:hint="eastAsia" w:ascii="宋体" w:hAnsi="Courier New" w:eastAsia="宋体" w:cs="Times New Roman"/>
          <w:b/>
          <w:bCs/>
          <w:color w:val="auto"/>
          <w:kern w:val="2"/>
          <w:sz w:val="21"/>
          <w:szCs w:val="20"/>
          <w:lang w:val="en-US" w:eastAsia="zh-CN" w:bidi="ar-SA"/>
        </w:rPr>
        <w:br w:type="textWrapping"/>
      </w:r>
      <w:r>
        <w:rPr>
          <w:rFonts w:hint="eastAsia" w:hAnsi="Courier New" w:eastAsia="宋体" w:cs="Times New Roman"/>
          <w:b/>
          <w:bCs/>
          <w:color w:val="auto"/>
          <w:kern w:val="2"/>
          <w:sz w:val="21"/>
          <w:szCs w:val="20"/>
          <w:lang w:val="en-US" w:eastAsia="zh-CN" w:bidi="ar-SA"/>
        </w:rPr>
        <w:tab/>
      </w:r>
      <w:r>
        <w:rPr>
          <w:rFonts w:hint="eastAsia" w:ascii="宋体" w:hAnsi="Courier New" w:eastAsia="宋体" w:cs="Times New Roman"/>
          <w:b/>
          <w:bCs/>
          <w:color w:val="auto"/>
          <w:kern w:val="2"/>
          <w:sz w:val="21"/>
          <w:szCs w:val="20"/>
          <w:lang w:val="en-US" w:eastAsia="zh-CN" w:bidi="ar-SA"/>
        </w:rPr>
        <w:t>账户信息：</w:t>
      </w:r>
      <w:r>
        <w:rPr>
          <w:rFonts w:hint="eastAsia" w:ascii="宋体" w:hAnsi="Courier New" w:eastAsia="宋体" w:cs="Times New Roman"/>
          <w:b/>
          <w:bCs/>
          <w:color w:val="auto"/>
          <w:kern w:val="2"/>
          <w:sz w:val="21"/>
          <w:szCs w:val="20"/>
          <w:lang w:val="en-US" w:eastAsia="zh-CN" w:bidi="ar-SA"/>
        </w:rPr>
        <w:br w:type="textWrapping"/>
      </w:r>
      <w:r>
        <w:rPr>
          <w:rFonts w:hint="eastAsia" w:ascii="宋体" w:hAnsi="Courier New" w:eastAsia="宋体" w:cs="Times New Roman"/>
          <w:b/>
          <w:bCs/>
          <w:color w:val="auto"/>
          <w:kern w:val="2"/>
          <w:sz w:val="21"/>
          <w:szCs w:val="20"/>
          <w:lang w:val="en-US" w:eastAsia="zh-CN" w:bidi="ar-SA"/>
        </w:rPr>
        <w:t>名称：中国重汽集团济南卡车股份有限公司</w:t>
      </w:r>
      <w:r>
        <w:rPr>
          <w:rFonts w:hint="eastAsia" w:ascii="宋体" w:hAnsi="Courier New" w:eastAsia="宋体" w:cs="Times New Roman"/>
          <w:b/>
          <w:bCs/>
          <w:color w:val="auto"/>
          <w:kern w:val="2"/>
          <w:sz w:val="21"/>
          <w:szCs w:val="20"/>
          <w:lang w:val="en-US" w:eastAsia="zh-CN" w:bidi="ar-SA"/>
        </w:rPr>
        <w:br w:type="textWrapping"/>
      </w:r>
      <w:r>
        <w:rPr>
          <w:rFonts w:hint="eastAsia" w:ascii="宋体" w:hAnsi="Courier New" w:eastAsia="宋体" w:cs="Times New Roman"/>
          <w:b/>
          <w:bCs/>
          <w:color w:val="auto"/>
          <w:kern w:val="2"/>
          <w:sz w:val="21"/>
          <w:szCs w:val="20"/>
          <w:lang w:val="en-US" w:eastAsia="zh-CN" w:bidi="ar-SA"/>
        </w:rPr>
        <w:t>帐号：531900051810601</w:t>
      </w:r>
      <w:r>
        <w:rPr>
          <w:rFonts w:hint="eastAsia" w:ascii="宋体" w:hAnsi="Courier New" w:eastAsia="宋体" w:cs="Times New Roman"/>
          <w:b/>
          <w:bCs/>
          <w:color w:val="auto"/>
          <w:kern w:val="2"/>
          <w:sz w:val="21"/>
          <w:szCs w:val="20"/>
          <w:lang w:val="en-US" w:eastAsia="zh-CN" w:bidi="ar-SA"/>
        </w:rPr>
        <w:br w:type="textWrapping"/>
      </w:r>
      <w:r>
        <w:rPr>
          <w:rFonts w:hint="eastAsia" w:ascii="宋体" w:hAnsi="Courier New" w:eastAsia="宋体" w:cs="Times New Roman"/>
          <w:b/>
          <w:bCs/>
          <w:color w:val="auto"/>
          <w:kern w:val="2"/>
          <w:sz w:val="21"/>
          <w:szCs w:val="20"/>
          <w:lang w:val="en-US" w:eastAsia="zh-CN" w:bidi="ar-SA"/>
        </w:rPr>
        <w:t>户名：中国重汽集团济南卡车股份有限公司</w:t>
      </w:r>
      <w:r>
        <w:rPr>
          <w:rFonts w:hint="eastAsia" w:ascii="宋体" w:hAnsi="Courier New" w:eastAsia="宋体" w:cs="Times New Roman"/>
          <w:b/>
          <w:bCs/>
          <w:color w:val="auto"/>
          <w:kern w:val="2"/>
          <w:sz w:val="21"/>
          <w:szCs w:val="20"/>
          <w:lang w:val="en-US" w:eastAsia="zh-CN" w:bidi="ar-SA"/>
        </w:rPr>
        <w:br w:type="textWrapping"/>
      </w:r>
      <w:r>
        <w:rPr>
          <w:rFonts w:hint="eastAsia" w:ascii="宋体" w:hAnsi="Courier New" w:eastAsia="宋体" w:cs="Times New Roman"/>
          <w:b/>
          <w:bCs/>
          <w:color w:val="auto"/>
          <w:kern w:val="2"/>
          <w:sz w:val="21"/>
          <w:szCs w:val="20"/>
          <w:lang w:val="en-US" w:eastAsia="zh-CN" w:bidi="ar-SA"/>
        </w:rPr>
        <w:t>开户行：招商银行股份有限公司济南分行营业部</w:t>
      </w:r>
      <w:r>
        <w:rPr>
          <w:rFonts w:hint="eastAsia" w:ascii="宋体" w:hAnsi="Courier New" w:eastAsia="宋体" w:cs="Times New Roman"/>
          <w:b/>
          <w:bCs/>
          <w:color w:val="auto"/>
          <w:kern w:val="2"/>
          <w:sz w:val="21"/>
          <w:szCs w:val="20"/>
          <w:lang w:val="en-US" w:eastAsia="zh-CN" w:bidi="ar-SA"/>
        </w:rPr>
        <w:br w:type="textWrapping"/>
      </w:r>
      <w:r>
        <w:rPr>
          <w:rFonts w:hint="eastAsia" w:ascii="宋体" w:hAnsi="Courier New" w:eastAsia="宋体" w:cs="Times New Roman"/>
          <w:b/>
          <w:bCs/>
          <w:color w:val="auto"/>
          <w:kern w:val="2"/>
          <w:sz w:val="21"/>
          <w:szCs w:val="20"/>
          <w:lang w:val="en-US" w:eastAsia="zh-CN" w:bidi="ar-SA"/>
        </w:rPr>
        <w:t>联行号：308451028020</w:t>
      </w:r>
    </w:p>
    <w:p w14:paraId="427458D6">
      <w:pPr>
        <w:pStyle w:val="22"/>
        <w:pageBreakBefore w:val="0"/>
        <w:kinsoku/>
        <w:wordWrap/>
        <w:overflowPunct/>
        <w:topLinePunct w:val="0"/>
        <w:bidi w:val="0"/>
        <w:spacing w:line="520" w:lineRule="exact"/>
        <w:ind w:firstLine="600"/>
        <w:textAlignment w:val="auto"/>
        <w:rPr>
          <w:rFonts w:hint="eastAsia" w:ascii="宋体" w:hAnsi="Courier New" w:eastAsia="宋体" w:cs="Times New Roman"/>
          <w:color w:val="auto"/>
          <w:kern w:val="2"/>
          <w:sz w:val="21"/>
          <w:szCs w:val="20"/>
          <w:lang w:val="en-US" w:eastAsia="zh-CN" w:bidi="ar-SA"/>
        </w:rPr>
      </w:pPr>
      <w:r>
        <w:rPr>
          <w:rFonts w:hint="eastAsia" w:hAnsi="Courier New" w:eastAsia="宋体" w:cs="Times New Roman"/>
          <w:color w:val="auto"/>
          <w:kern w:val="2"/>
          <w:sz w:val="21"/>
          <w:szCs w:val="20"/>
          <w:lang w:val="en-US" w:eastAsia="zh-CN" w:bidi="ar-SA"/>
        </w:rPr>
        <w:t>（1）</w:t>
      </w:r>
      <w:r>
        <w:rPr>
          <w:rFonts w:hint="eastAsia" w:ascii="宋体" w:hAnsi="Courier New" w:eastAsia="宋体" w:cs="Times New Roman"/>
          <w:color w:val="auto"/>
          <w:kern w:val="2"/>
          <w:sz w:val="21"/>
          <w:szCs w:val="20"/>
          <w:lang w:val="en-US" w:eastAsia="zh-CN" w:bidi="ar-SA"/>
        </w:rPr>
        <w:t>投标人</w:t>
      </w:r>
      <w:r>
        <w:rPr>
          <w:rFonts w:hint="eastAsia" w:hAnsi="Courier New" w:eastAsia="宋体" w:cs="Times New Roman"/>
          <w:color w:val="auto"/>
          <w:kern w:val="2"/>
          <w:sz w:val="21"/>
          <w:szCs w:val="20"/>
          <w:lang w:val="en-US" w:eastAsia="zh-CN" w:bidi="ar-SA"/>
        </w:rPr>
        <w:t>需在投标前缴纳投标保证金，并在投标文件中上传相关证明</w:t>
      </w:r>
      <w:r>
        <w:rPr>
          <w:rFonts w:hint="eastAsia" w:ascii="宋体" w:hAnsi="Courier New" w:eastAsia="宋体" w:cs="Times New Roman"/>
          <w:color w:val="auto"/>
          <w:kern w:val="2"/>
          <w:sz w:val="21"/>
          <w:szCs w:val="20"/>
          <w:lang w:val="en-US" w:eastAsia="zh-CN" w:bidi="ar-SA"/>
        </w:rPr>
        <w:t>。开标时，投标人须向招标人提供付款证明。中标单位的招标保证金在合同签订后的下一付款周期返还到交纳账户；未中标单位的投标保证金在中标结果公布后的下一付款周期返还到交纳账户；开标现场被判定为否决单位的，其投标保证金在开标之后的下一月返还到交纳账户。保证金均为无息返还。</w:t>
      </w:r>
    </w:p>
    <w:p w14:paraId="603170CD">
      <w:pPr>
        <w:pStyle w:val="22"/>
        <w:pageBreakBefore w:val="0"/>
        <w:kinsoku/>
        <w:wordWrap/>
        <w:overflowPunct/>
        <w:topLinePunct w:val="0"/>
        <w:bidi w:val="0"/>
        <w:spacing w:line="520" w:lineRule="exact"/>
        <w:ind w:firstLine="600"/>
        <w:textAlignment w:val="auto"/>
        <w:rPr>
          <w:rFonts w:hint="default" w:ascii="宋体" w:hAnsi="Courier New" w:eastAsia="宋体" w:cs="Times New Roman"/>
          <w:color w:val="auto"/>
          <w:kern w:val="2"/>
          <w:sz w:val="21"/>
          <w:szCs w:val="20"/>
          <w:lang w:val="en-US" w:eastAsia="zh-CN" w:bidi="ar-SA"/>
        </w:rPr>
      </w:pPr>
      <w:r>
        <w:rPr>
          <w:rFonts w:hint="eastAsia" w:hAnsi="Courier New" w:eastAsia="宋体" w:cs="Times New Roman"/>
          <w:color w:val="auto"/>
          <w:kern w:val="2"/>
          <w:sz w:val="21"/>
          <w:szCs w:val="20"/>
          <w:lang w:val="en-US" w:eastAsia="zh-CN" w:bidi="ar-SA"/>
        </w:rPr>
        <w:t>（2）</w:t>
      </w:r>
      <w:r>
        <w:rPr>
          <w:rFonts w:hint="default" w:ascii="宋体" w:hAnsi="Courier New" w:eastAsia="宋体" w:cs="Times New Roman"/>
          <w:color w:val="auto"/>
          <w:kern w:val="2"/>
          <w:sz w:val="21"/>
          <w:szCs w:val="20"/>
          <w:lang w:val="en-US" w:eastAsia="zh-CN" w:bidi="ar-SA"/>
        </w:rPr>
        <w:t>投标人原则上应以提交银行投标保函或从银行基本账户转账的方式缴纳投标保证金。投标人提交银行投标保函的，应在开标时提交投标保函正本，作为《投标文件》的一部分，该投标保函应是不可撤销的“见索即付”保函，保函有效期应满足投标有效期要求，项目实施单位须留存保函正本；投标人从其银行基本账户转账的，需在《招标文件》规定的日期内，将投标保证金转入招标人指定账户。</w:t>
      </w:r>
    </w:p>
    <w:p w14:paraId="1FD177E5">
      <w:pPr>
        <w:pStyle w:val="7"/>
        <w:spacing w:line="360" w:lineRule="auto"/>
        <w:ind w:firstLine="420" w:firstLineChars="200"/>
        <w:rPr>
          <w:rFonts w:hint="eastAsia" w:hAnsi="宋体" w:cs="宋体"/>
        </w:rPr>
      </w:pPr>
      <w:r>
        <w:rPr>
          <w:rFonts w:hint="eastAsia" w:hAnsi="宋体" w:cs="宋体"/>
          <w:lang w:val="en-US" w:eastAsia="zh-CN"/>
        </w:rPr>
        <w:t>（3）</w:t>
      </w:r>
      <w:r>
        <w:rPr>
          <w:rFonts w:hint="eastAsia" w:hAnsi="宋体" w:cs="宋体"/>
        </w:rPr>
        <w:t>说明：</w:t>
      </w:r>
    </w:p>
    <w:p w14:paraId="78BB9DE2">
      <w:pPr>
        <w:pStyle w:val="7"/>
        <w:spacing w:line="360" w:lineRule="auto"/>
        <w:ind w:firstLine="420" w:firstLineChars="200"/>
        <w:rPr>
          <w:rFonts w:hint="eastAsia" w:hAnsi="宋体" w:cs="宋体"/>
          <w:highlight w:val="none"/>
        </w:rPr>
      </w:pPr>
      <w:r>
        <w:rPr>
          <w:rFonts w:hint="eastAsia" w:hAnsi="宋体" w:cs="宋体"/>
        </w:rPr>
        <w:t>(a)</w:t>
      </w:r>
      <w:r>
        <w:rPr>
          <w:rFonts w:hint="eastAsia" w:hAnsi="宋体" w:cs="宋体"/>
          <w:highlight w:val="none"/>
        </w:rPr>
        <w:t>无正当理由随意放弃投标、撤销投标文件、中标后无正当理由拒签合同、在签订合同时向招标人或合同签订单位提出无理附加条件的，投标保证金不予返还，该投标人2年不得参与招标人组织的招投标项目。</w:t>
      </w:r>
    </w:p>
    <w:p w14:paraId="35C0D087">
      <w:pPr>
        <w:pStyle w:val="7"/>
        <w:spacing w:line="360" w:lineRule="auto"/>
        <w:ind w:firstLine="420" w:firstLineChars="200"/>
        <w:rPr>
          <w:rFonts w:hint="eastAsia"/>
        </w:rPr>
      </w:pPr>
      <w:r>
        <w:rPr>
          <w:rFonts w:hint="eastAsia"/>
        </w:rPr>
        <w:t>(b)投标人在向招标人出示《投标保证金缴纳凭证》后方可进行投标。</w:t>
      </w:r>
    </w:p>
    <w:p w14:paraId="25EDD17B">
      <w:pPr>
        <w:pStyle w:val="7"/>
        <w:spacing w:line="360" w:lineRule="auto"/>
        <w:ind w:firstLine="422" w:firstLineChars="200"/>
        <w:rPr>
          <w:rFonts w:hint="eastAsia"/>
          <w:b/>
          <w:bCs/>
          <w:szCs w:val="22"/>
        </w:rPr>
      </w:pPr>
      <w:r>
        <w:rPr>
          <w:rFonts w:hint="eastAsia"/>
          <w:b/>
          <w:bCs/>
        </w:rPr>
        <w:t>(c)</w:t>
      </w:r>
      <w:r>
        <w:rPr>
          <w:rFonts w:hint="eastAsia"/>
          <w:b/>
          <w:bCs/>
          <w:szCs w:val="22"/>
        </w:rPr>
        <w:t>发生以下情况时，项目实施单位有权不予返还收保证金：</w:t>
      </w:r>
    </w:p>
    <w:p w14:paraId="1E97543A">
      <w:pPr>
        <w:pStyle w:val="7"/>
        <w:spacing w:line="360" w:lineRule="auto"/>
        <w:ind w:left="420" w:leftChars="200" w:firstLine="0" w:firstLineChars="0"/>
        <w:rPr>
          <w:rFonts w:hint="default"/>
          <w:szCs w:val="22"/>
          <w:lang w:val="en-US" w:eastAsia="zh-CN"/>
        </w:rPr>
      </w:pPr>
      <w:r>
        <w:rPr>
          <w:rFonts w:hint="eastAsia"/>
          <w:szCs w:val="22"/>
          <w:lang w:val="en-US" w:eastAsia="zh-CN"/>
        </w:rPr>
        <w:fldChar w:fldCharType="begin"/>
      </w:r>
      <w:r>
        <w:rPr>
          <w:rFonts w:hint="eastAsia"/>
          <w:szCs w:val="22"/>
          <w:lang w:val="en-US" w:eastAsia="zh-CN"/>
        </w:rPr>
        <w:instrText xml:space="preserve"> = 1 \* GB3 \* MERGEFORMAT </w:instrText>
      </w:r>
      <w:r>
        <w:rPr>
          <w:rFonts w:hint="eastAsia"/>
          <w:szCs w:val="22"/>
          <w:lang w:val="en-US" w:eastAsia="zh-CN"/>
        </w:rPr>
        <w:fldChar w:fldCharType="separate"/>
      </w:r>
      <w:r>
        <w:t>①</w:t>
      </w:r>
      <w:r>
        <w:rPr>
          <w:rFonts w:hint="eastAsia"/>
          <w:szCs w:val="22"/>
          <w:lang w:val="en-US" w:eastAsia="zh-CN"/>
        </w:rPr>
        <w:fldChar w:fldCharType="end"/>
      </w:r>
      <w:r>
        <w:rPr>
          <w:rFonts w:hint="eastAsia"/>
          <w:szCs w:val="22"/>
          <w:lang w:val="en-US" w:eastAsia="zh-CN"/>
        </w:rPr>
        <w:t>投标人</w:t>
      </w:r>
      <w:r>
        <w:rPr>
          <w:rFonts w:hint="default"/>
          <w:szCs w:val="22"/>
          <w:lang w:val="en-US" w:eastAsia="zh-CN"/>
        </w:rPr>
        <w:t>在提交响应文件截止时间后撤回响应文件的；</w:t>
      </w:r>
    </w:p>
    <w:p w14:paraId="0C4A8D52">
      <w:pPr>
        <w:pStyle w:val="7"/>
        <w:spacing w:line="360" w:lineRule="auto"/>
        <w:ind w:left="420" w:leftChars="200" w:firstLine="0" w:firstLineChars="0"/>
        <w:rPr>
          <w:rFonts w:hint="eastAsia"/>
          <w:szCs w:val="22"/>
          <w:lang w:eastAsia="zh-CN"/>
        </w:rPr>
      </w:pPr>
      <w:r>
        <w:rPr>
          <w:rFonts w:hint="eastAsia"/>
          <w:szCs w:val="22"/>
          <w:lang w:val="en-US" w:eastAsia="zh-CN"/>
        </w:rPr>
        <w:fldChar w:fldCharType="begin"/>
      </w:r>
      <w:r>
        <w:rPr>
          <w:rFonts w:hint="eastAsia"/>
          <w:szCs w:val="22"/>
          <w:lang w:val="en-US" w:eastAsia="zh-CN"/>
        </w:rPr>
        <w:instrText xml:space="preserve"> = 2 \* GB3 \* MERGEFORMAT </w:instrText>
      </w:r>
      <w:r>
        <w:rPr>
          <w:rFonts w:hint="eastAsia"/>
          <w:szCs w:val="22"/>
          <w:lang w:val="en-US" w:eastAsia="zh-CN"/>
        </w:rPr>
        <w:fldChar w:fldCharType="separate"/>
      </w:r>
      <w:r>
        <w:t>②</w:t>
      </w:r>
      <w:r>
        <w:rPr>
          <w:rFonts w:hint="eastAsia"/>
          <w:szCs w:val="22"/>
          <w:lang w:val="en-US" w:eastAsia="zh-CN"/>
        </w:rPr>
        <w:fldChar w:fldCharType="end"/>
      </w:r>
      <w:r>
        <w:rPr>
          <w:rFonts w:hint="eastAsia"/>
          <w:szCs w:val="22"/>
          <w:lang w:val="en-US" w:eastAsia="zh-CN"/>
        </w:rPr>
        <w:t>投标人</w:t>
      </w:r>
      <w:r>
        <w:rPr>
          <w:rFonts w:hint="default"/>
          <w:szCs w:val="22"/>
          <w:lang w:val="en-US" w:eastAsia="zh-CN"/>
        </w:rPr>
        <w:t>在响应文件中提供虚假材料的；</w:t>
      </w:r>
      <w:r>
        <w:rPr>
          <w:rFonts w:hint="default"/>
          <w:szCs w:val="22"/>
          <w:lang w:val="en-US" w:eastAsia="zh-CN"/>
        </w:rPr>
        <w:br w:type="textWrapping"/>
      </w:r>
      <w:r>
        <w:rPr>
          <w:rFonts w:hint="eastAsia"/>
          <w:szCs w:val="22"/>
          <w:lang w:val="en-US" w:eastAsia="zh-CN"/>
        </w:rPr>
        <w:fldChar w:fldCharType="begin"/>
      </w:r>
      <w:r>
        <w:rPr>
          <w:rFonts w:hint="eastAsia"/>
          <w:szCs w:val="22"/>
          <w:lang w:val="en-US" w:eastAsia="zh-CN"/>
        </w:rPr>
        <w:instrText xml:space="preserve"> = 3 \* GB3 \* MERGEFORMAT </w:instrText>
      </w:r>
      <w:r>
        <w:rPr>
          <w:rFonts w:hint="eastAsia"/>
          <w:szCs w:val="22"/>
          <w:lang w:val="en-US" w:eastAsia="zh-CN"/>
        </w:rPr>
        <w:fldChar w:fldCharType="separate"/>
      </w:r>
      <w:r>
        <w:t>③</w:t>
      </w:r>
      <w:r>
        <w:rPr>
          <w:rFonts w:hint="eastAsia"/>
          <w:szCs w:val="22"/>
          <w:lang w:val="en-US" w:eastAsia="zh-CN"/>
        </w:rPr>
        <w:fldChar w:fldCharType="end"/>
      </w:r>
      <w:r>
        <w:rPr>
          <w:rFonts w:hint="default"/>
          <w:szCs w:val="22"/>
          <w:lang w:val="en-US" w:eastAsia="zh-CN"/>
        </w:rPr>
        <w:t>除因不可抗力或谈判文件、询价通知书认可的情形以外，成交</w:t>
      </w:r>
      <w:r>
        <w:rPr>
          <w:rFonts w:hint="eastAsia"/>
          <w:szCs w:val="22"/>
          <w:lang w:val="en-US" w:eastAsia="zh-CN"/>
        </w:rPr>
        <w:t>投标人</w:t>
      </w:r>
      <w:r>
        <w:rPr>
          <w:rFonts w:hint="default"/>
          <w:szCs w:val="22"/>
          <w:lang w:val="en-US" w:eastAsia="zh-CN"/>
        </w:rPr>
        <w:t>不与采购人签订合同的；</w:t>
      </w:r>
      <w:r>
        <w:rPr>
          <w:rFonts w:hint="default"/>
          <w:szCs w:val="22"/>
          <w:lang w:val="en-US" w:eastAsia="zh-CN"/>
        </w:rPr>
        <w:br w:type="textWrapping"/>
      </w:r>
      <w:r>
        <w:rPr>
          <w:rFonts w:hint="default"/>
          <w:szCs w:val="22"/>
        </w:rPr>
        <w:fldChar w:fldCharType="begin"/>
      </w:r>
      <w:r>
        <w:rPr>
          <w:rFonts w:hint="default"/>
          <w:szCs w:val="22"/>
        </w:rPr>
        <w:instrText xml:space="preserve"> = 4 \* GB3 \* MERGEFORMAT </w:instrText>
      </w:r>
      <w:r>
        <w:rPr>
          <w:rFonts w:hint="default"/>
          <w:szCs w:val="22"/>
        </w:rPr>
        <w:fldChar w:fldCharType="separate"/>
      </w:r>
      <w:r>
        <w:t>④</w:t>
      </w:r>
      <w:r>
        <w:rPr>
          <w:rFonts w:hint="default"/>
          <w:szCs w:val="22"/>
        </w:rPr>
        <w:fldChar w:fldCharType="end"/>
      </w:r>
      <w:r>
        <w:rPr>
          <w:rFonts w:hint="eastAsia"/>
          <w:szCs w:val="22"/>
          <w:lang w:val="en-US" w:eastAsia="zh-CN"/>
        </w:rPr>
        <w:t>投标人</w:t>
      </w:r>
      <w:r>
        <w:rPr>
          <w:rFonts w:hint="default"/>
          <w:szCs w:val="22"/>
        </w:rPr>
        <w:t>与</w:t>
      </w:r>
      <w:r>
        <w:rPr>
          <w:rFonts w:hint="eastAsia"/>
          <w:szCs w:val="22"/>
          <w:lang w:val="en-US" w:eastAsia="zh-CN"/>
        </w:rPr>
        <w:t>招标</w:t>
      </w:r>
      <w:r>
        <w:rPr>
          <w:rFonts w:hint="default"/>
          <w:szCs w:val="22"/>
        </w:rPr>
        <w:t>人、其他</w:t>
      </w:r>
      <w:r>
        <w:rPr>
          <w:rFonts w:hint="eastAsia"/>
          <w:szCs w:val="22"/>
          <w:lang w:val="en-US" w:eastAsia="zh-CN"/>
        </w:rPr>
        <w:t>投标人</w:t>
      </w:r>
      <w:r>
        <w:rPr>
          <w:rFonts w:hint="default"/>
          <w:szCs w:val="22"/>
        </w:rPr>
        <w:t>或者代理机构恶意串通、围标、陪标的；</w:t>
      </w:r>
      <w:r>
        <w:rPr>
          <w:rFonts w:hint="default"/>
          <w:szCs w:val="22"/>
        </w:rPr>
        <w:br w:type="textWrapping"/>
      </w:r>
      <w:r>
        <w:rPr>
          <w:rFonts w:hint="default"/>
          <w:szCs w:val="22"/>
        </w:rPr>
        <w:fldChar w:fldCharType="begin"/>
      </w:r>
      <w:r>
        <w:rPr>
          <w:rFonts w:hint="default"/>
          <w:szCs w:val="22"/>
        </w:rPr>
        <w:instrText xml:space="preserve"> = 5 \* GB3 \* MERGEFORMAT </w:instrText>
      </w:r>
      <w:r>
        <w:rPr>
          <w:rFonts w:hint="default"/>
          <w:szCs w:val="22"/>
        </w:rPr>
        <w:fldChar w:fldCharType="separate"/>
      </w:r>
      <w:r>
        <w:t>⑤</w:t>
      </w:r>
      <w:r>
        <w:rPr>
          <w:rFonts w:hint="default"/>
          <w:szCs w:val="22"/>
        </w:rPr>
        <w:fldChar w:fldCharType="end"/>
      </w:r>
      <w:r>
        <w:rPr>
          <w:rFonts w:hint="eastAsia"/>
          <w:szCs w:val="22"/>
          <w:lang w:val="en-US" w:eastAsia="zh-CN"/>
        </w:rPr>
        <w:t>投标人</w:t>
      </w:r>
      <w:r>
        <w:rPr>
          <w:rFonts w:hint="default"/>
          <w:szCs w:val="22"/>
        </w:rPr>
        <w:t>有违约违规行为或被投诉、举报的，在调查处理期间，保证金暂不退还，待调查处理结束后按有关规定处理</w:t>
      </w:r>
      <w:r>
        <w:rPr>
          <w:rFonts w:hint="eastAsia"/>
          <w:szCs w:val="22"/>
          <w:lang w:eastAsia="zh-CN"/>
        </w:rPr>
        <w:t>；</w:t>
      </w:r>
      <w:r>
        <w:rPr>
          <w:rFonts w:hint="default"/>
          <w:szCs w:val="22"/>
        </w:rPr>
        <w:br w:type="textWrapping"/>
      </w:r>
      <w:r>
        <w:rPr>
          <w:rFonts w:hint="default"/>
          <w:szCs w:val="22"/>
        </w:rPr>
        <w:fldChar w:fldCharType="begin"/>
      </w:r>
      <w:r>
        <w:rPr>
          <w:rFonts w:hint="default"/>
          <w:szCs w:val="22"/>
        </w:rPr>
        <w:instrText xml:space="preserve"> = 6 \* GB3 \* MERGEFORMAT </w:instrText>
      </w:r>
      <w:r>
        <w:rPr>
          <w:rFonts w:hint="default"/>
          <w:szCs w:val="22"/>
        </w:rPr>
        <w:fldChar w:fldCharType="separate"/>
      </w:r>
      <w:r>
        <w:t>⑥</w:t>
      </w:r>
      <w:r>
        <w:rPr>
          <w:rFonts w:hint="default"/>
          <w:szCs w:val="22"/>
        </w:rPr>
        <w:fldChar w:fldCharType="end"/>
      </w:r>
      <w:r>
        <w:rPr>
          <w:rFonts w:hint="default"/>
          <w:szCs w:val="22"/>
        </w:rPr>
        <w:t>截至开标前3天，投标人无正当理由、未以书面形式向招标人递交说明而在投标截止日不来投标的</w:t>
      </w:r>
      <w:r>
        <w:rPr>
          <w:rFonts w:hint="eastAsia"/>
          <w:szCs w:val="22"/>
          <w:lang w:eastAsia="zh-CN"/>
        </w:rPr>
        <w:t>；</w:t>
      </w:r>
      <w:r>
        <w:rPr>
          <w:rFonts w:hint="default"/>
          <w:szCs w:val="22"/>
        </w:rPr>
        <w:br w:type="textWrapping"/>
      </w:r>
      <w:r>
        <w:rPr>
          <w:rFonts w:hint="default"/>
          <w:szCs w:val="22"/>
        </w:rPr>
        <w:fldChar w:fldCharType="begin"/>
      </w:r>
      <w:r>
        <w:rPr>
          <w:rFonts w:hint="default"/>
          <w:szCs w:val="22"/>
        </w:rPr>
        <w:instrText xml:space="preserve"> = 7 \* GB3 \* MERGEFORMAT </w:instrText>
      </w:r>
      <w:r>
        <w:rPr>
          <w:rFonts w:hint="default"/>
          <w:szCs w:val="22"/>
        </w:rPr>
        <w:fldChar w:fldCharType="separate"/>
      </w:r>
      <w:r>
        <w:t>⑦</w:t>
      </w:r>
      <w:r>
        <w:rPr>
          <w:rFonts w:hint="default"/>
          <w:szCs w:val="22"/>
        </w:rPr>
        <w:fldChar w:fldCharType="end"/>
      </w:r>
      <w:r>
        <w:rPr>
          <w:rFonts w:hint="default"/>
          <w:szCs w:val="22"/>
        </w:rPr>
        <w:t>自中标通知书发出之日起30日内，中标人无正当理由投标人无正当签订合同的；</w:t>
      </w:r>
      <w:r>
        <w:rPr>
          <w:rFonts w:hint="default"/>
          <w:szCs w:val="22"/>
        </w:rPr>
        <w:br w:type="textWrapping"/>
      </w:r>
      <w:r>
        <w:rPr>
          <w:rFonts w:hint="default"/>
          <w:szCs w:val="22"/>
        </w:rPr>
        <w:fldChar w:fldCharType="begin"/>
      </w:r>
      <w:r>
        <w:rPr>
          <w:rFonts w:hint="default"/>
          <w:szCs w:val="22"/>
        </w:rPr>
        <w:instrText xml:space="preserve"> = 8 \* GB3 \* MERGEFORMAT </w:instrText>
      </w:r>
      <w:r>
        <w:rPr>
          <w:rFonts w:hint="default"/>
          <w:szCs w:val="22"/>
        </w:rPr>
        <w:fldChar w:fldCharType="separate"/>
      </w:r>
      <w:r>
        <w:t>⑧</w:t>
      </w:r>
      <w:r>
        <w:rPr>
          <w:rFonts w:hint="default"/>
          <w:szCs w:val="22"/>
        </w:rPr>
        <w:fldChar w:fldCharType="end"/>
      </w:r>
      <w:r>
        <w:rPr>
          <w:rFonts w:hint="default"/>
          <w:szCs w:val="22"/>
        </w:rPr>
        <w:t>采购文件规定的其他情形</w:t>
      </w:r>
      <w:r>
        <w:rPr>
          <w:rFonts w:hint="eastAsia"/>
          <w:szCs w:val="22"/>
          <w:lang w:eastAsia="zh-CN"/>
        </w:rPr>
        <w:t>。</w:t>
      </w:r>
    </w:p>
    <w:p w14:paraId="76A47596">
      <w:pPr>
        <w:keepNext w:val="0"/>
        <w:keepLines w:val="0"/>
        <w:pageBreakBefore w:val="0"/>
        <w:widowControl w:val="0"/>
        <w:numPr>
          <w:ilvl w:val="0"/>
          <w:numId w:val="3"/>
        </w:numPr>
        <w:kinsoku/>
        <w:wordWrap/>
        <w:overflowPunct/>
        <w:topLinePunct w:val="0"/>
        <w:autoSpaceDE/>
        <w:autoSpaceDN/>
        <w:bidi w:val="0"/>
        <w:adjustRightInd w:val="0"/>
        <w:snapToGrid w:val="0"/>
        <w:spacing w:line="360" w:lineRule="auto"/>
        <w:ind w:left="0" w:leftChars="0" w:firstLine="422" w:firstLineChars="200"/>
        <w:textAlignment w:val="auto"/>
        <w:rPr>
          <w:rFonts w:hint="eastAsia" w:hAnsi="宋体" w:cs="宋体"/>
          <w:b/>
          <w:bCs/>
          <w:lang w:val="en-US" w:eastAsia="zh-CN"/>
        </w:rPr>
      </w:pPr>
      <w:r>
        <w:rPr>
          <w:rFonts w:hint="eastAsia" w:hAnsi="宋体" w:cs="宋体"/>
          <w:b/>
          <w:bCs/>
          <w:lang w:val="en-US" w:eastAsia="zh-CN"/>
        </w:rPr>
        <w:t>开、评标：</w:t>
      </w:r>
      <w:bookmarkStart w:id="2" w:name="_Toc33267002"/>
      <w:bookmarkStart w:id="3" w:name="_Toc33285489"/>
      <w:bookmarkStart w:id="4" w:name="_Toc33265654"/>
      <w:bookmarkStart w:id="5" w:name="_Toc33266915"/>
      <w:bookmarkStart w:id="6" w:name="_Toc33266628"/>
      <w:bookmarkStart w:id="7" w:name="_Toc33266951"/>
      <w:bookmarkStart w:id="8" w:name="_Toc33265753"/>
      <w:bookmarkStart w:id="9" w:name="_Toc395116634"/>
    </w:p>
    <w:p w14:paraId="6852EAC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textAlignment w:val="auto"/>
        <w:rPr>
          <w:rFonts w:hint="eastAsia" w:ascii="宋体" w:hAnsi="宋体" w:cs="宋体"/>
          <w:b/>
          <w:bCs/>
          <w:color w:val="FF0000"/>
          <w:sz w:val="21"/>
          <w:szCs w:val="21"/>
          <w:lang w:val="en-US" w:eastAsia="zh-CN"/>
        </w:rPr>
      </w:pPr>
      <w:r>
        <w:rPr>
          <w:rFonts w:hint="eastAsia" w:ascii="宋体" w:hAnsi="宋体" w:eastAsia="宋体" w:cs="宋体"/>
          <w:b/>
          <w:bCs/>
          <w:color w:val="FF0000"/>
          <w:sz w:val="21"/>
          <w:szCs w:val="21"/>
        </w:rPr>
        <w:t>1）开标方式：线上（现场)开标</w:t>
      </w:r>
      <w:r>
        <w:rPr>
          <w:rFonts w:hint="eastAsia" w:ascii="宋体" w:hAnsi="宋体" w:cs="宋体"/>
          <w:b/>
          <w:bCs/>
          <w:color w:val="FF0000"/>
          <w:sz w:val="21"/>
          <w:szCs w:val="21"/>
          <w:lang w:val="en-US" w:eastAsia="zh-CN"/>
        </w:rPr>
        <w:t xml:space="preserve"> 招标前一天会发开标通知和招标会议号（钉钉会议）</w:t>
      </w:r>
    </w:p>
    <w:p w14:paraId="3533E2AB">
      <w:pPr>
        <w:pStyle w:val="5"/>
        <w:rPr>
          <w:rFonts w:hint="eastAsia"/>
          <w:lang w:val="en-US" w:eastAsia="zh-CN"/>
        </w:rPr>
      </w:pPr>
      <w:r>
        <w:rPr>
          <w:rFonts w:hint="eastAsia" w:hAnsi="宋体" w:cs="宋体"/>
          <w:b/>
          <w:bCs/>
          <w:color w:val="FF0000"/>
          <w:sz w:val="21"/>
          <w:szCs w:val="21"/>
          <w:lang w:val="en-US" w:eastAsia="zh-CN"/>
        </w:rPr>
        <w:t>2</w:t>
      </w:r>
      <w:r>
        <w:rPr>
          <w:rFonts w:hint="eastAsia" w:ascii="宋体" w:hAnsi="宋体" w:eastAsia="宋体" w:cs="宋体"/>
          <w:b/>
          <w:bCs/>
          <w:color w:val="FF0000"/>
          <w:sz w:val="21"/>
          <w:szCs w:val="21"/>
          <w:lang w:val="en-US" w:eastAsia="zh-CN"/>
        </w:rPr>
        <w:t>）</w:t>
      </w:r>
      <w:r>
        <w:rPr>
          <w:rFonts w:hint="eastAsia" w:ascii="宋体" w:hAnsi="宋体" w:eastAsia="宋体" w:cs="宋体"/>
          <w:b/>
          <w:bCs/>
          <w:color w:val="FF0000"/>
          <w:sz w:val="21"/>
          <w:szCs w:val="21"/>
          <w:highlight w:val="none"/>
          <w:lang w:val="en-US" w:eastAsia="zh-CN"/>
        </w:rPr>
        <w:t>开标时间：202</w:t>
      </w:r>
      <w:r>
        <w:rPr>
          <w:rFonts w:hint="eastAsia" w:hAnsi="宋体" w:cs="宋体"/>
          <w:b/>
          <w:bCs/>
          <w:color w:val="FF0000"/>
          <w:sz w:val="21"/>
          <w:szCs w:val="21"/>
          <w:highlight w:val="none"/>
          <w:lang w:val="en-US" w:eastAsia="zh-CN"/>
        </w:rPr>
        <w:t>6</w:t>
      </w:r>
      <w:r>
        <w:rPr>
          <w:rFonts w:hint="eastAsia" w:ascii="宋体" w:hAnsi="宋体" w:eastAsia="宋体" w:cs="宋体"/>
          <w:b/>
          <w:bCs/>
          <w:color w:val="FF0000"/>
          <w:sz w:val="21"/>
          <w:szCs w:val="21"/>
          <w:highlight w:val="none"/>
          <w:lang w:val="en-US" w:eastAsia="zh-CN"/>
        </w:rPr>
        <w:t>年</w:t>
      </w:r>
      <w:r>
        <w:rPr>
          <w:rFonts w:hint="eastAsia" w:hAnsi="宋体" w:cs="宋体"/>
          <w:b/>
          <w:bCs/>
          <w:color w:val="FF0000"/>
          <w:sz w:val="21"/>
          <w:szCs w:val="21"/>
          <w:highlight w:val="none"/>
          <w:lang w:val="en-US" w:eastAsia="zh-CN"/>
        </w:rPr>
        <w:t>10</w:t>
      </w:r>
      <w:r>
        <w:rPr>
          <w:rFonts w:hint="eastAsia" w:ascii="宋体" w:hAnsi="宋体" w:eastAsia="宋体" w:cs="宋体"/>
          <w:b/>
          <w:bCs/>
          <w:color w:val="FF0000"/>
          <w:sz w:val="21"/>
          <w:szCs w:val="21"/>
          <w:highlight w:val="none"/>
          <w:lang w:val="en-US" w:eastAsia="zh-CN"/>
        </w:rPr>
        <w:t>月 08</w:t>
      </w:r>
      <w:r>
        <w:rPr>
          <w:rFonts w:hint="eastAsia" w:ascii="宋体" w:hAnsi="宋体" w:eastAsia="宋体" w:cs="宋体"/>
          <w:b/>
          <w:bCs/>
          <w:color w:val="FF0000"/>
          <w:kern w:val="2"/>
          <w:sz w:val="21"/>
          <w:szCs w:val="21"/>
          <w:highlight w:val="none"/>
          <w:lang w:val="en-US" w:eastAsia="zh-CN" w:bidi="ar-SA"/>
        </w:rPr>
        <w:t>日13:30</w:t>
      </w:r>
      <w:bookmarkStart w:id="24" w:name="_GoBack"/>
      <w:bookmarkEnd w:id="24"/>
      <w:r>
        <w:rPr>
          <w:rFonts w:hint="eastAsia" w:ascii="宋体" w:hAnsi="宋体" w:eastAsia="宋体" w:cs="宋体"/>
          <w:b/>
          <w:bCs/>
          <w:color w:val="FF0000"/>
          <w:kern w:val="2"/>
          <w:sz w:val="21"/>
          <w:szCs w:val="21"/>
          <w:highlight w:val="none"/>
          <w:lang w:val="en-US" w:eastAsia="zh-CN" w:bidi="ar-SA"/>
        </w:rPr>
        <w:t>:00（北京时间），若有变动另行通知。</w:t>
      </w:r>
    </w:p>
    <w:p w14:paraId="12F0DB29">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11"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Courier New" w:eastAsia="宋体" w:cs="Times New Roman"/>
          <w:b w:val="0"/>
          <w:bCs/>
          <w:kern w:val="2"/>
          <w:sz w:val="21"/>
          <w:highlight w:val="none"/>
          <w:lang w:val="en-US" w:eastAsia="zh-CN" w:bidi="ar-SA"/>
        </w:rPr>
        <w:t>现场招</w:t>
      </w:r>
      <w:r>
        <w:rPr>
          <w:rFonts w:hint="eastAsia" w:ascii="宋体" w:hAnsi="宋体" w:eastAsia="宋体" w:cs="宋体"/>
          <w:b w:val="0"/>
          <w:bCs/>
          <w:sz w:val="21"/>
          <w:szCs w:val="21"/>
          <w:highlight w:val="none"/>
          <w:lang w:val="en-US" w:eastAsia="zh-CN"/>
        </w:rPr>
        <w:t>标：</w:t>
      </w:r>
      <w:r>
        <w:rPr>
          <w:rFonts w:hint="eastAsia" w:ascii="宋体" w:hAnsi="宋体" w:eastAsia="宋体" w:cs="宋体"/>
          <w:b w:val="0"/>
          <w:bCs/>
          <w:color w:val="000000"/>
          <w:sz w:val="21"/>
          <w:szCs w:val="21"/>
          <w:highlight w:val="none"/>
        </w:rPr>
        <w:t>原则上来现场参与开标。如因特殊情况无法现场参与，需在开标前三日，通知招标人，由招标人创建视频链接，并在报名结束后统一通知。</w:t>
      </w:r>
    </w:p>
    <w:p w14:paraId="3E5583EB">
      <w:pPr>
        <w:pStyle w:val="20"/>
        <w:keepNext w:val="0"/>
        <w:keepLines w:val="0"/>
        <w:pageBreakBefore w:val="0"/>
        <w:widowControl w:val="0"/>
        <w:numPr>
          <w:ilvl w:val="0"/>
          <w:numId w:val="7"/>
        </w:numPr>
        <w:kinsoku/>
        <w:wordWrap/>
        <w:overflowPunct/>
        <w:topLinePunct w:val="0"/>
        <w:autoSpaceDE/>
        <w:autoSpaceDN/>
        <w:bidi w:val="0"/>
        <w:adjustRightInd/>
        <w:snapToGrid/>
        <w:ind w:left="11" w:leftChars="0" w:firstLine="0" w:firstLineChars="0"/>
        <w:textAlignment w:val="auto"/>
        <w:rPr>
          <w:rFonts w:hint="eastAsia" w:ascii="宋体" w:hAnsi="宋体" w:eastAsia="宋体" w:cs="宋体"/>
          <w:b w:val="0"/>
          <w:bCs/>
          <w:color w:val="000000"/>
          <w:sz w:val="21"/>
          <w:szCs w:val="21"/>
          <w:highlight w:val="none"/>
        </w:rPr>
      </w:pPr>
      <w:r>
        <w:rPr>
          <w:rFonts w:hint="eastAsia" w:ascii="宋体" w:hAnsi="Courier New" w:eastAsia="宋体" w:cs="Times New Roman"/>
          <w:b w:val="0"/>
          <w:bCs/>
          <w:kern w:val="2"/>
          <w:sz w:val="21"/>
          <w:highlight w:val="none"/>
          <w:lang w:val="en-US" w:eastAsia="zh-CN" w:bidi="ar-SA"/>
        </w:rPr>
        <w:t>线上招标：</w:t>
      </w:r>
      <w:r>
        <w:rPr>
          <w:rFonts w:hint="eastAsia" w:ascii="宋体" w:hAnsi="宋体" w:eastAsia="宋体" w:cs="宋体"/>
          <w:b w:val="0"/>
          <w:bCs/>
          <w:sz w:val="21"/>
          <w:szCs w:val="21"/>
          <w:highlight w:val="none"/>
          <w:lang w:val="en-US" w:eastAsia="zh-CN"/>
        </w:rPr>
        <w:t>因招标人原因，允许各投标方通过视频会议等形式线上招标，所需过程资料均通过e采通进行提报，由</w:t>
      </w:r>
      <w:r>
        <w:rPr>
          <w:rFonts w:hint="eastAsia" w:ascii="宋体" w:hAnsi="宋体" w:eastAsia="宋体" w:cs="宋体"/>
          <w:b w:val="0"/>
          <w:bCs/>
          <w:color w:val="000000"/>
          <w:sz w:val="21"/>
          <w:szCs w:val="21"/>
          <w:highlight w:val="none"/>
        </w:rPr>
        <w:t>招标人创建视频链接</w:t>
      </w:r>
      <w:r>
        <w:rPr>
          <w:rFonts w:hint="eastAsia" w:ascii="宋体" w:hAnsi="宋体" w:eastAsia="宋体" w:cs="宋体"/>
          <w:b w:val="0"/>
          <w:bCs/>
          <w:color w:val="000000"/>
          <w:sz w:val="21"/>
          <w:szCs w:val="21"/>
          <w:highlight w:val="none"/>
          <w:lang w:eastAsia="zh-CN"/>
        </w:rPr>
        <w:t>，</w:t>
      </w:r>
      <w:r>
        <w:rPr>
          <w:rFonts w:hint="eastAsia" w:ascii="宋体" w:hAnsi="宋体" w:eastAsia="宋体" w:cs="宋体"/>
          <w:b w:val="0"/>
          <w:bCs/>
          <w:color w:val="000000"/>
          <w:sz w:val="21"/>
          <w:szCs w:val="21"/>
          <w:highlight w:val="none"/>
        </w:rPr>
        <w:t>并在报名结束后统一通知。</w:t>
      </w:r>
    </w:p>
    <w:p w14:paraId="0CF30D95">
      <w:pPr>
        <w:pStyle w:val="7"/>
        <w:numPr>
          <w:ilvl w:val="0"/>
          <w:numId w:val="0"/>
        </w:numPr>
        <w:spacing w:line="360" w:lineRule="auto"/>
        <w:rPr>
          <w:rFonts w:hint="eastAsia" w:hAnsi="宋体" w:cs="宋体"/>
          <w:lang w:val="en-US" w:eastAsia="zh-CN"/>
        </w:rPr>
      </w:pPr>
      <w:r>
        <w:rPr>
          <w:rFonts w:hint="eastAsia"/>
          <w:lang w:val="en-US" w:eastAsia="zh-CN"/>
        </w:rPr>
        <w:t>3）</w:t>
      </w:r>
      <w:r>
        <w:rPr>
          <w:rFonts w:hint="eastAsia" w:hAnsi="宋体" w:cs="宋体"/>
          <w:lang w:val="en-US" w:eastAsia="zh-CN"/>
        </w:rPr>
        <w:t>评标方法：资质标审核→技术标评审→商务标评审。</w:t>
      </w:r>
    </w:p>
    <w:p w14:paraId="4B278769">
      <w:pPr>
        <w:pStyle w:val="7"/>
        <w:numPr>
          <w:ilvl w:val="0"/>
          <w:numId w:val="0"/>
        </w:num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lang w:val="en-US" w:eastAsia="zh-CN"/>
        </w:rPr>
        <w:t>本着公平、公正、公开的原则，在满足技术要求的前</w:t>
      </w:r>
      <w:r>
        <w:rPr>
          <w:rFonts w:hint="eastAsia" w:ascii="宋体" w:hAnsi="宋体" w:eastAsia="宋体" w:cs="宋体"/>
          <w:highlight w:val="none"/>
          <w:lang w:val="en-US" w:eastAsia="zh-CN"/>
        </w:rPr>
        <w:t>提下</w:t>
      </w:r>
      <w:r>
        <w:rPr>
          <w:rFonts w:hint="eastAsia" w:hAnsi="宋体" w:cs="宋体"/>
          <w:highlight w:val="none"/>
          <w:lang w:val="en-US" w:eastAsia="zh-CN"/>
        </w:rPr>
        <w:t>，依据</w:t>
      </w:r>
      <w:r>
        <w:rPr>
          <w:rFonts w:hint="eastAsia" w:hAnsi="宋体" w:cs="宋体"/>
          <w:b/>
          <w:bCs/>
          <w:highlight w:val="yellow"/>
          <w:lang w:val="en-US" w:eastAsia="zh-CN"/>
        </w:rPr>
        <w:t>定标原则（采用技术入围后，商务实行低价中标）</w:t>
      </w:r>
      <w:r>
        <w:rPr>
          <w:rFonts w:hint="eastAsia" w:hAnsi="宋体" w:cs="宋体"/>
          <w:highlight w:val="none"/>
          <w:lang w:val="en-US" w:eastAsia="zh-CN"/>
        </w:rPr>
        <w:t>确定中标人</w:t>
      </w:r>
      <w:r>
        <w:rPr>
          <w:rFonts w:hint="eastAsia" w:ascii="宋体" w:hAnsi="宋体" w:eastAsia="宋体" w:cs="宋体"/>
          <w:highlight w:val="none"/>
          <w:lang w:val="en-US" w:eastAsia="zh-CN"/>
        </w:rPr>
        <w:t>，对未中标单位不做任何解释。</w:t>
      </w:r>
    </w:p>
    <w:tbl>
      <w:tblPr>
        <w:tblStyle w:val="14"/>
        <w:tblW w:w="92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77"/>
        <w:gridCol w:w="9"/>
        <w:gridCol w:w="651"/>
        <w:gridCol w:w="1211"/>
        <w:gridCol w:w="709"/>
        <w:gridCol w:w="5670"/>
      </w:tblGrid>
      <w:tr w14:paraId="0DCAF7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0" w:hRule="atLeast"/>
          <w:jc w:val="center"/>
        </w:trPr>
        <w:tc>
          <w:tcPr>
            <w:tcW w:w="977" w:type="dxa"/>
            <w:tcBorders>
              <w:top w:val="single" w:color="auto" w:sz="4" w:space="0"/>
              <w:left w:val="single" w:color="auto" w:sz="4" w:space="0"/>
              <w:bottom w:val="single" w:color="auto" w:sz="4" w:space="0"/>
              <w:right w:val="single" w:color="auto" w:sz="4" w:space="0"/>
            </w:tcBorders>
            <w:noWrap w:val="0"/>
            <w:vAlign w:val="center"/>
          </w:tcPr>
          <w:p w14:paraId="3A861D53">
            <w:pPr>
              <w:spacing w:line="440" w:lineRule="exact"/>
              <w:ind w:right="34" w:rightChars="16"/>
              <w:jc w:val="center"/>
              <w:rPr>
                <w:b/>
                <w:sz w:val="18"/>
                <w:szCs w:val="18"/>
              </w:rPr>
            </w:pPr>
            <w:r>
              <w:rPr>
                <w:rFonts w:hint="eastAsia"/>
                <w:b/>
                <w:sz w:val="18"/>
                <w:szCs w:val="18"/>
              </w:rPr>
              <w:t>评标因素</w:t>
            </w:r>
          </w:p>
        </w:tc>
        <w:tc>
          <w:tcPr>
            <w:tcW w:w="660" w:type="dxa"/>
            <w:gridSpan w:val="2"/>
            <w:tcBorders>
              <w:top w:val="single" w:color="auto" w:sz="4" w:space="0"/>
              <w:left w:val="single" w:color="auto" w:sz="4" w:space="0"/>
              <w:bottom w:val="single" w:color="auto" w:sz="4" w:space="0"/>
              <w:right w:val="single" w:color="auto" w:sz="4" w:space="0"/>
            </w:tcBorders>
            <w:noWrap w:val="0"/>
            <w:vAlign w:val="center"/>
          </w:tcPr>
          <w:p w14:paraId="0F568B79">
            <w:pPr>
              <w:spacing w:line="440" w:lineRule="exact"/>
              <w:ind w:right="34" w:rightChars="16"/>
              <w:jc w:val="center"/>
              <w:rPr>
                <w:b/>
                <w:sz w:val="18"/>
                <w:szCs w:val="18"/>
              </w:rPr>
            </w:pPr>
            <w:r>
              <w:rPr>
                <w:rFonts w:hint="eastAsia"/>
                <w:b/>
                <w:sz w:val="18"/>
                <w:szCs w:val="18"/>
              </w:rPr>
              <w:t>总分</w:t>
            </w:r>
          </w:p>
        </w:tc>
        <w:tc>
          <w:tcPr>
            <w:tcW w:w="1211" w:type="dxa"/>
            <w:tcBorders>
              <w:top w:val="single" w:color="auto" w:sz="4" w:space="0"/>
              <w:left w:val="single" w:color="auto" w:sz="4" w:space="0"/>
              <w:bottom w:val="single" w:color="auto" w:sz="4" w:space="0"/>
              <w:right w:val="single" w:color="auto" w:sz="4" w:space="0"/>
            </w:tcBorders>
            <w:noWrap w:val="0"/>
            <w:vAlign w:val="center"/>
          </w:tcPr>
          <w:p w14:paraId="49294C7E">
            <w:pPr>
              <w:spacing w:line="440" w:lineRule="exact"/>
              <w:ind w:right="34" w:rightChars="16"/>
              <w:jc w:val="center"/>
              <w:rPr>
                <w:b/>
                <w:sz w:val="18"/>
                <w:szCs w:val="18"/>
              </w:rPr>
            </w:pPr>
            <w:r>
              <w:rPr>
                <w:rFonts w:hint="eastAsia"/>
                <w:b/>
                <w:sz w:val="18"/>
                <w:szCs w:val="18"/>
              </w:rPr>
              <w:t>评审内容</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6B8581F5">
            <w:pPr>
              <w:spacing w:line="440" w:lineRule="exact"/>
              <w:ind w:right="34" w:rightChars="16"/>
              <w:jc w:val="center"/>
              <w:rPr>
                <w:rFonts w:hint="default" w:eastAsia="宋体"/>
                <w:b/>
                <w:sz w:val="18"/>
                <w:szCs w:val="18"/>
                <w:lang w:val="en-US" w:eastAsia="zh-CN"/>
              </w:rPr>
            </w:pPr>
            <w:r>
              <w:rPr>
                <w:rFonts w:hint="eastAsia"/>
                <w:b/>
                <w:sz w:val="18"/>
                <w:szCs w:val="18"/>
                <w:lang w:val="en-US" w:eastAsia="zh-CN"/>
              </w:rPr>
              <w:t>分值</w:t>
            </w:r>
          </w:p>
        </w:tc>
        <w:tc>
          <w:tcPr>
            <w:tcW w:w="5670" w:type="dxa"/>
            <w:tcBorders>
              <w:top w:val="single" w:color="auto" w:sz="4" w:space="0"/>
              <w:left w:val="single" w:color="auto" w:sz="4" w:space="0"/>
              <w:bottom w:val="single" w:color="auto" w:sz="4" w:space="0"/>
              <w:right w:val="single" w:color="auto" w:sz="4" w:space="0"/>
            </w:tcBorders>
            <w:noWrap w:val="0"/>
            <w:vAlign w:val="center"/>
          </w:tcPr>
          <w:p w14:paraId="0D272674">
            <w:pPr>
              <w:spacing w:line="440" w:lineRule="exact"/>
              <w:ind w:right="34" w:rightChars="16"/>
              <w:jc w:val="center"/>
              <w:rPr>
                <w:b/>
                <w:sz w:val="18"/>
                <w:szCs w:val="18"/>
              </w:rPr>
            </w:pPr>
            <w:r>
              <w:rPr>
                <w:rFonts w:hint="eastAsia"/>
                <w:b/>
                <w:sz w:val="18"/>
                <w:szCs w:val="18"/>
              </w:rPr>
              <w:t>评分标准</w:t>
            </w:r>
          </w:p>
        </w:tc>
      </w:tr>
      <w:tr w14:paraId="4375A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9227" w:type="dxa"/>
            <w:gridSpan w:val="6"/>
            <w:tcBorders>
              <w:top w:val="single" w:color="auto" w:sz="4" w:space="0"/>
              <w:left w:val="single" w:color="auto" w:sz="4" w:space="0"/>
              <w:bottom w:val="single" w:color="auto" w:sz="4" w:space="0"/>
              <w:right w:val="single" w:color="auto" w:sz="4" w:space="0"/>
            </w:tcBorders>
            <w:noWrap w:val="0"/>
            <w:vAlign w:val="center"/>
          </w:tcPr>
          <w:p w14:paraId="6359281F">
            <w:pPr>
              <w:numPr>
                <w:ilvl w:val="0"/>
                <w:numId w:val="0"/>
              </w:numPr>
              <w:spacing w:line="440" w:lineRule="exact"/>
              <w:ind w:right="34" w:rightChars="16"/>
              <w:jc w:val="left"/>
              <w:rPr>
                <w:rFonts w:hint="default" w:eastAsia="宋体"/>
                <w:b/>
                <w:sz w:val="18"/>
                <w:szCs w:val="18"/>
                <w:lang w:val="en-US" w:eastAsia="zh-CN"/>
              </w:rPr>
            </w:pPr>
            <w:r>
              <w:rPr>
                <w:rFonts w:hint="eastAsia"/>
                <w:b/>
                <w:sz w:val="18"/>
                <w:szCs w:val="18"/>
                <w:lang w:val="en-US" w:eastAsia="zh-CN"/>
              </w:rPr>
              <w:t>一、技术评分</w:t>
            </w:r>
          </w:p>
        </w:tc>
      </w:tr>
      <w:tr w14:paraId="1E9737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5" w:hRule="atLeast"/>
          <w:jc w:val="center"/>
        </w:trPr>
        <w:tc>
          <w:tcPr>
            <w:tcW w:w="977" w:type="dxa"/>
            <w:vMerge w:val="restart"/>
            <w:tcBorders>
              <w:top w:val="single" w:color="auto" w:sz="4" w:space="0"/>
              <w:left w:val="single" w:color="auto" w:sz="4" w:space="0"/>
              <w:right w:val="single" w:color="auto" w:sz="4" w:space="0"/>
            </w:tcBorders>
            <w:noWrap w:val="0"/>
            <w:vAlign w:val="center"/>
          </w:tcPr>
          <w:p w14:paraId="57535446">
            <w:pPr>
              <w:spacing w:line="420" w:lineRule="atLeast"/>
              <w:jc w:val="center"/>
              <w:rPr>
                <w:rFonts w:ascii="宋体"/>
                <w:sz w:val="18"/>
                <w:szCs w:val="18"/>
              </w:rPr>
            </w:pPr>
            <w:r>
              <w:rPr>
                <w:rFonts w:hint="eastAsia" w:ascii="宋体" w:hAnsi="宋体"/>
                <w:sz w:val="18"/>
                <w:szCs w:val="18"/>
              </w:rPr>
              <w:t>技术因素</w:t>
            </w:r>
          </w:p>
        </w:tc>
        <w:tc>
          <w:tcPr>
            <w:tcW w:w="660" w:type="dxa"/>
            <w:gridSpan w:val="2"/>
            <w:vMerge w:val="restart"/>
            <w:tcBorders>
              <w:top w:val="single" w:color="auto" w:sz="4" w:space="0"/>
              <w:left w:val="single" w:color="auto" w:sz="4" w:space="0"/>
              <w:right w:val="single" w:color="auto" w:sz="4" w:space="0"/>
            </w:tcBorders>
            <w:noWrap w:val="0"/>
            <w:vAlign w:val="center"/>
          </w:tcPr>
          <w:p w14:paraId="1D184BB1">
            <w:pPr>
              <w:spacing w:line="440" w:lineRule="exact"/>
              <w:jc w:val="center"/>
              <w:rPr>
                <w:rFonts w:hint="default" w:ascii="宋体" w:eastAsia="宋体"/>
                <w:color w:val="auto"/>
                <w:sz w:val="18"/>
                <w:szCs w:val="18"/>
                <w:lang w:val="en-US" w:eastAsia="zh-CN"/>
              </w:rPr>
            </w:pPr>
            <w:r>
              <w:rPr>
                <w:rFonts w:hint="eastAsia" w:ascii="宋体"/>
                <w:color w:val="auto"/>
                <w:sz w:val="18"/>
                <w:szCs w:val="18"/>
                <w:lang w:val="en-US" w:eastAsia="zh-CN"/>
              </w:rPr>
              <w:t>100</w:t>
            </w:r>
          </w:p>
        </w:tc>
        <w:tc>
          <w:tcPr>
            <w:tcW w:w="1211" w:type="dxa"/>
            <w:tcBorders>
              <w:top w:val="single" w:color="auto" w:sz="4" w:space="0"/>
              <w:left w:val="single" w:color="auto" w:sz="4" w:space="0"/>
              <w:bottom w:val="single" w:color="auto" w:sz="4" w:space="0"/>
              <w:right w:val="single" w:color="auto" w:sz="4" w:space="0"/>
            </w:tcBorders>
            <w:noWrap w:val="0"/>
            <w:vAlign w:val="center"/>
          </w:tcPr>
          <w:p w14:paraId="1A9652DB">
            <w:pPr>
              <w:jc w:val="center"/>
              <w:rPr>
                <w:rFonts w:hint="default" w:ascii="宋体" w:eastAsia="宋体"/>
                <w:color w:val="auto"/>
                <w:sz w:val="18"/>
                <w:szCs w:val="18"/>
                <w:lang w:val="en-US" w:eastAsia="zh-CN"/>
              </w:rPr>
            </w:pPr>
            <w:r>
              <w:rPr>
                <w:rFonts w:hint="eastAsia" w:ascii="宋体" w:hAnsi="宋体"/>
                <w:color w:val="auto"/>
                <w:sz w:val="18"/>
                <w:szCs w:val="18"/>
              </w:rPr>
              <w:t>技术方案</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586B6070">
            <w:pPr>
              <w:jc w:val="center"/>
              <w:rPr>
                <w:rFonts w:hint="default" w:ascii="宋体" w:eastAsia="宋体"/>
                <w:color w:val="auto"/>
                <w:sz w:val="18"/>
                <w:szCs w:val="18"/>
                <w:lang w:val="en-US" w:eastAsia="zh-CN"/>
              </w:rPr>
            </w:pPr>
            <w:r>
              <w:rPr>
                <w:rFonts w:hint="eastAsia" w:ascii="宋体"/>
                <w:color w:val="auto"/>
                <w:sz w:val="18"/>
                <w:szCs w:val="18"/>
                <w:lang w:val="en-US" w:eastAsia="zh-CN"/>
              </w:rPr>
              <w:t>50</w:t>
            </w:r>
          </w:p>
        </w:tc>
        <w:tc>
          <w:tcPr>
            <w:tcW w:w="5670" w:type="dxa"/>
            <w:tcBorders>
              <w:top w:val="single" w:color="auto" w:sz="4" w:space="0"/>
              <w:left w:val="single" w:color="auto" w:sz="4" w:space="0"/>
              <w:bottom w:val="single" w:color="auto" w:sz="4" w:space="0"/>
              <w:right w:val="single" w:color="auto" w:sz="4" w:space="0"/>
            </w:tcBorders>
            <w:noWrap w:val="0"/>
            <w:vAlign w:val="center"/>
          </w:tcPr>
          <w:p w14:paraId="6AAEADA8">
            <w:pPr>
              <w:tabs>
                <w:tab w:val="left" w:pos="7854"/>
              </w:tabs>
              <w:spacing w:line="300" w:lineRule="exact"/>
              <w:rPr>
                <w:rFonts w:hint="default" w:eastAsia="宋体"/>
                <w:color w:val="auto"/>
                <w:sz w:val="18"/>
                <w:szCs w:val="18"/>
                <w:lang w:val="en-US" w:eastAsia="zh-CN"/>
              </w:rPr>
            </w:pPr>
            <w:r>
              <w:rPr>
                <w:rFonts w:hint="eastAsia"/>
                <w:b/>
                <w:bCs/>
                <w:color w:val="auto"/>
                <w:sz w:val="18"/>
                <w:szCs w:val="18"/>
              </w:rPr>
              <w:t>项目技术方案</w:t>
            </w:r>
            <w:r>
              <w:rPr>
                <w:rFonts w:hint="eastAsia"/>
                <w:b/>
                <w:bCs/>
                <w:color w:val="auto"/>
                <w:sz w:val="18"/>
                <w:szCs w:val="18"/>
                <w:lang w:val="en-US" w:eastAsia="zh-CN"/>
              </w:rPr>
              <w:t>或服务关键条款</w:t>
            </w:r>
            <w:r>
              <w:rPr>
                <w:rFonts w:hint="eastAsia"/>
                <w:b/>
                <w:bCs/>
                <w:color w:val="auto"/>
                <w:sz w:val="18"/>
                <w:szCs w:val="18"/>
              </w:rPr>
              <w:t>切实可行</w:t>
            </w:r>
            <w:r>
              <w:rPr>
                <w:rFonts w:hint="eastAsia"/>
                <w:color w:val="auto"/>
                <w:sz w:val="18"/>
                <w:szCs w:val="18"/>
              </w:rPr>
              <w:t>，</w:t>
            </w:r>
            <w:r>
              <w:rPr>
                <w:rFonts w:ascii="宋体" w:hAnsi="宋体" w:eastAsia="宋体" w:cs="宋体"/>
                <w:sz w:val="18"/>
                <w:szCs w:val="18"/>
              </w:rPr>
              <w:t>对招标需求的实质理解和解决方案的先进性、可行性</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完全满足标书要求</w:t>
            </w:r>
            <w:r>
              <w:rPr>
                <w:rFonts w:hint="eastAsia" w:ascii="宋体" w:hAnsi="宋体" w:eastAsia="宋体" w:cs="宋体"/>
                <w:sz w:val="18"/>
                <w:szCs w:val="18"/>
                <w:lang w:eastAsia="zh-CN"/>
              </w:rPr>
              <w:t>（</w:t>
            </w:r>
            <w:r>
              <w:rPr>
                <w:rFonts w:hint="eastAsia" w:ascii="宋体" w:hAnsi="宋体" w:cs="宋体"/>
                <w:sz w:val="18"/>
                <w:szCs w:val="18"/>
                <w:lang w:val="en-US" w:eastAsia="zh-CN"/>
              </w:rPr>
              <w:t>41-50</w:t>
            </w:r>
            <w:r>
              <w:rPr>
                <w:rFonts w:hint="eastAsia" w:ascii="宋体" w:hAnsi="宋体" w:eastAsia="宋体" w:cs="宋体"/>
                <w:sz w:val="18"/>
                <w:szCs w:val="18"/>
                <w:lang w:val="en-US" w:eastAsia="zh-CN"/>
              </w:rPr>
              <w:t>分）</w:t>
            </w:r>
            <w:r>
              <w:rPr>
                <w:rFonts w:ascii="宋体" w:hAnsi="宋体" w:eastAsia="宋体" w:cs="宋体"/>
                <w:sz w:val="18"/>
                <w:szCs w:val="18"/>
              </w:rPr>
              <w:t>。技术路线落后或存在明显缺陷；方案设计粗糙、有遗漏；技术参数仅勉强达标</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w:t>
            </w:r>
            <w:r>
              <w:rPr>
                <w:rFonts w:hint="eastAsia" w:ascii="宋体" w:hAnsi="宋体" w:cs="宋体"/>
                <w:sz w:val="18"/>
                <w:szCs w:val="18"/>
                <w:lang w:val="en-US" w:eastAsia="zh-CN"/>
              </w:rPr>
              <w:t>40</w:t>
            </w:r>
            <w:r>
              <w:rPr>
                <w:rFonts w:hint="eastAsia" w:ascii="宋体" w:hAnsi="宋体" w:eastAsia="宋体" w:cs="宋体"/>
                <w:sz w:val="18"/>
                <w:szCs w:val="18"/>
                <w:lang w:val="en-US" w:eastAsia="zh-CN"/>
              </w:rPr>
              <w:t>分）</w:t>
            </w:r>
            <w:r>
              <w:rPr>
                <w:rFonts w:ascii="宋体" w:hAnsi="宋体" w:eastAsia="宋体" w:cs="宋体"/>
                <w:sz w:val="18"/>
                <w:szCs w:val="18"/>
              </w:rPr>
              <w:t>。</w:t>
            </w:r>
          </w:p>
        </w:tc>
      </w:tr>
      <w:tr w14:paraId="18ABC5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6" w:hRule="atLeast"/>
          <w:jc w:val="center"/>
        </w:trPr>
        <w:tc>
          <w:tcPr>
            <w:tcW w:w="977" w:type="dxa"/>
            <w:vMerge w:val="continue"/>
            <w:tcBorders>
              <w:left w:val="single" w:color="auto" w:sz="4" w:space="0"/>
              <w:right w:val="single" w:color="auto" w:sz="4" w:space="0"/>
            </w:tcBorders>
            <w:noWrap w:val="0"/>
            <w:vAlign w:val="center"/>
          </w:tcPr>
          <w:p w14:paraId="569D3A80">
            <w:pPr>
              <w:widowControl/>
              <w:jc w:val="left"/>
              <w:rPr>
                <w:rFonts w:ascii="宋体"/>
                <w:sz w:val="18"/>
                <w:szCs w:val="18"/>
              </w:rPr>
            </w:pPr>
          </w:p>
        </w:tc>
        <w:tc>
          <w:tcPr>
            <w:tcW w:w="660" w:type="dxa"/>
            <w:gridSpan w:val="2"/>
            <w:vMerge w:val="continue"/>
            <w:tcBorders>
              <w:left w:val="single" w:color="auto" w:sz="4" w:space="0"/>
              <w:right w:val="single" w:color="auto" w:sz="4" w:space="0"/>
            </w:tcBorders>
            <w:noWrap w:val="0"/>
            <w:vAlign w:val="center"/>
          </w:tcPr>
          <w:p w14:paraId="492DD10C">
            <w:pPr>
              <w:widowControl/>
              <w:jc w:val="left"/>
              <w:rPr>
                <w:rFonts w:ascii="宋体"/>
                <w:color w:val="auto"/>
                <w:sz w:val="18"/>
                <w:szCs w:val="18"/>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14:paraId="15293BC1">
            <w:pPr>
              <w:widowControl/>
              <w:jc w:val="center"/>
              <w:rPr>
                <w:rFonts w:hint="default" w:ascii="宋体" w:eastAsia="宋体"/>
                <w:color w:val="auto"/>
                <w:sz w:val="18"/>
                <w:szCs w:val="18"/>
                <w:lang w:val="en-US" w:eastAsia="zh-CN"/>
              </w:rPr>
            </w:pPr>
            <w:r>
              <w:rPr>
                <w:rFonts w:ascii="宋体" w:hAnsi="宋体" w:eastAsia="宋体" w:cs="宋体"/>
                <w:sz w:val="18"/>
                <w:szCs w:val="18"/>
              </w:rPr>
              <w:t>质量</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293A4464">
            <w:pPr>
              <w:jc w:val="center"/>
              <w:rPr>
                <w:rFonts w:hint="default" w:ascii="宋体" w:eastAsia="宋体"/>
                <w:color w:val="auto"/>
                <w:sz w:val="18"/>
                <w:szCs w:val="18"/>
                <w:lang w:val="en-US" w:eastAsia="zh-CN"/>
              </w:rPr>
            </w:pPr>
            <w:r>
              <w:rPr>
                <w:rFonts w:hint="eastAsia" w:ascii="宋体"/>
                <w:color w:val="auto"/>
                <w:sz w:val="18"/>
                <w:szCs w:val="18"/>
                <w:lang w:val="en-US" w:eastAsia="zh-CN"/>
              </w:rPr>
              <w:t>20</w:t>
            </w:r>
          </w:p>
        </w:tc>
        <w:tc>
          <w:tcPr>
            <w:tcW w:w="5670" w:type="dxa"/>
            <w:tcBorders>
              <w:top w:val="single" w:color="auto" w:sz="4" w:space="0"/>
              <w:left w:val="single" w:color="auto" w:sz="4" w:space="0"/>
              <w:bottom w:val="single" w:color="auto" w:sz="4" w:space="0"/>
              <w:right w:val="single" w:color="auto" w:sz="4" w:space="0"/>
            </w:tcBorders>
            <w:noWrap w:val="0"/>
            <w:vAlign w:val="center"/>
          </w:tcPr>
          <w:p w14:paraId="43E5A2E2">
            <w:pPr>
              <w:keepNext w:val="0"/>
              <w:keepLines w:val="0"/>
              <w:widowControl/>
              <w:suppressLineNumbers w:val="0"/>
              <w:jc w:val="left"/>
              <w:rPr>
                <w:rFonts w:hint="default" w:eastAsia="宋体"/>
                <w:color w:val="auto"/>
                <w:sz w:val="18"/>
                <w:szCs w:val="18"/>
                <w:lang w:val="en-US" w:eastAsia="zh-CN"/>
              </w:rPr>
            </w:pPr>
            <w:r>
              <w:rPr>
                <w:rFonts w:hint="eastAsia"/>
                <w:color w:val="auto"/>
                <w:sz w:val="18"/>
                <w:szCs w:val="18"/>
              </w:rPr>
              <w:t>质量保证体系完整，措施有力，</w:t>
            </w:r>
            <w:r>
              <w:rPr>
                <w:rFonts w:hint="eastAsia" w:ascii="宋体" w:hAnsi="宋体"/>
                <w:sz w:val="18"/>
                <w:szCs w:val="18"/>
              </w:rPr>
              <w:t>能</w:t>
            </w:r>
            <w:r>
              <w:rPr>
                <w:rFonts w:hint="eastAsia" w:ascii="宋体" w:hAnsi="宋体"/>
                <w:b/>
                <w:bCs/>
                <w:sz w:val="18"/>
                <w:szCs w:val="18"/>
              </w:rPr>
              <w:t>有项目控制计划</w:t>
            </w:r>
            <w:r>
              <w:rPr>
                <w:rFonts w:hint="eastAsia" w:ascii="宋体" w:hAnsi="宋体"/>
                <w:sz w:val="18"/>
                <w:szCs w:val="18"/>
              </w:rPr>
              <w:t>（如工期、应急服务）</w:t>
            </w:r>
            <w:r>
              <w:rPr>
                <w:rFonts w:hint="eastAsia" w:ascii="宋体" w:hAnsi="宋体"/>
                <w:sz w:val="18"/>
                <w:szCs w:val="18"/>
                <w:lang w:eastAsia="zh-CN"/>
              </w:rPr>
              <w:t>，</w:t>
            </w:r>
            <w:r>
              <w:rPr>
                <w:rFonts w:ascii="宋体" w:hAnsi="宋体" w:eastAsia="宋体" w:cs="宋体"/>
                <w:b/>
                <w:bCs/>
                <w:sz w:val="18"/>
                <w:szCs w:val="18"/>
              </w:rPr>
              <w:t>完全响应招标文件</w:t>
            </w:r>
            <w:r>
              <w:rPr>
                <w:rFonts w:hint="eastAsia" w:ascii="宋体" w:hAnsi="宋体" w:eastAsia="宋体" w:cs="宋体"/>
                <w:b/>
                <w:bCs/>
                <w:sz w:val="18"/>
                <w:szCs w:val="18"/>
                <w:lang w:eastAsia="zh-CN"/>
              </w:rPr>
              <w:t>，</w:t>
            </w:r>
            <w:r>
              <w:rPr>
                <w:rFonts w:hint="eastAsia" w:ascii="宋体" w:hAnsi="宋体" w:eastAsia="宋体" w:cs="宋体"/>
                <w:b/>
                <w:bCs/>
                <w:sz w:val="18"/>
                <w:szCs w:val="18"/>
                <w:lang w:val="en-US" w:eastAsia="zh-CN"/>
              </w:rPr>
              <w:t>技术无</w:t>
            </w:r>
            <w:r>
              <w:rPr>
                <w:rFonts w:ascii="宋体" w:hAnsi="宋体" w:eastAsia="宋体" w:cs="宋体"/>
                <w:b/>
                <w:bCs/>
                <w:sz w:val="18"/>
                <w:szCs w:val="18"/>
              </w:rPr>
              <w:t>偏离</w:t>
            </w:r>
            <w:r>
              <w:rPr>
                <w:rFonts w:hint="eastAsia" w:ascii="宋体" w:hAnsi="宋体" w:eastAsia="宋体" w:cs="宋体"/>
                <w:sz w:val="18"/>
                <w:szCs w:val="18"/>
                <w:lang w:eastAsia="zh-CN"/>
              </w:rPr>
              <w:t>；</w:t>
            </w:r>
            <w:r>
              <w:rPr>
                <w:rFonts w:ascii="宋体" w:hAnsi="宋体" w:eastAsia="宋体" w:cs="宋体"/>
                <w:sz w:val="18"/>
                <w:szCs w:val="18"/>
              </w:rPr>
              <w:t>对关键需求有深刻的解读和确认（</w:t>
            </w:r>
            <w:r>
              <w:rPr>
                <w:rFonts w:hint="eastAsia" w:ascii="宋体" w:hAnsi="宋体" w:cs="宋体"/>
                <w:sz w:val="18"/>
                <w:szCs w:val="18"/>
                <w:lang w:val="en-US" w:eastAsia="zh-CN"/>
              </w:rPr>
              <w:t>11-20</w:t>
            </w:r>
            <w:r>
              <w:rPr>
                <w:rFonts w:ascii="宋体" w:hAnsi="宋体" w:eastAsia="宋体" w:cs="宋体"/>
                <w:sz w:val="18"/>
                <w:szCs w:val="18"/>
              </w:rPr>
              <w:t>分）。</w:t>
            </w:r>
            <w:r>
              <w:rPr>
                <w:rFonts w:ascii="宋体" w:hAnsi="宋体" w:eastAsia="宋体" w:cs="宋体"/>
                <w:kern w:val="0"/>
                <w:sz w:val="18"/>
                <w:szCs w:val="18"/>
                <w:lang w:val="en-US" w:eastAsia="zh-CN" w:bidi="ar"/>
              </w:rPr>
              <w:t>工期安排不合理或存在无法按期完工的风险</w:t>
            </w:r>
            <w:r>
              <w:rPr>
                <w:rFonts w:hint="eastAsia" w:ascii="宋体" w:hAnsi="宋体" w:eastAsia="宋体" w:cs="宋体"/>
                <w:kern w:val="0"/>
                <w:sz w:val="18"/>
                <w:szCs w:val="18"/>
                <w:lang w:val="en-US" w:eastAsia="zh-CN" w:bidi="ar"/>
              </w:rPr>
              <w:t>（0-</w:t>
            </w:r>
            <w:r>
              <w:rPr>
                <w:rFonts w:hint="eastAsia" w:ascii="宋体" w:hAnsi="宋体" w:cs="宋体"/>
                <w:kern w:val="0"/>
                <w:sz w:val="18"/>
                <w:szCs w:val="18"/>
                <w:lang w:val="en-US" w:eastAsia="zh-CN" w:bidi="ar"/>
              </w:rPr>
              <w:t>10</w:t>
            </w:r>
            <w:r>
              <w:rPr>
                <w:rFonts w:hint="eastAsia" w:ascii="宋体" w:hAnsi="宋体" w:eastAsia="宋体" w:cs="宋体"/>
                <w:kern w:val="0"/>
                <w:sz w:val="18"/>
                <w:szCs w:val="18"/>
                <w:lang w:val="en-US" w:eastAsia="zh-CN" w:bidi="ar"/>
              </w:rPr>
              <w:t>分）</w:t>
            </w:r>
            <w:r>
              <w:rPr>
                <w:rFonts w:ascii="宋体" w:hAnsi="宋体" w:eastAsia="宋体" w:cs="宋体"/>
                <w:kern w:val="0"/>
                <w:sz w:val="18"/>
                <w:szCs w:val="18"/>
                <w:lang w:val="en-US" w:eastAsia="zh-CN" w:bidi="ar"/>
              </w:rPr>
              <w:t>。</w:t>
            </w:r>
          </w:p>
        </w:tc>
      </w:tr>
      <w:tr w14:paraId="73AC8B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6" w:hRule="atLeast"/>
          <w:jc w:val="center"/>
        </w:trPr>
        <w:tc>
          <w:tcPr>
            <w:tcW w:w="977" w:type="dxa"/>
            <w:vMerge w:val="continue"/>
            <w:tcBorders>
              <w:left w:val="single" w:color="auto" w:sz="4" w:space="0"/>
              <w:right w:val="single" w:color="auto" w:sz="4" w:space="0"/>
            </w:tcBorders>
            <w:noWrap w:val="0"/>
            <w:vAlign w:val="center"/>
          </w:tcPr>
          <w:p w14:paraId="5593EFD8">
            <w:pPr>
              <w:widowControl/>
              <w:jc w:val="left"/>
              <w:rPr>
                <w:rFonts w:ascii="宋体"/>
                <w:sz w:val="18"/>
                <w:szCs w:val="18"/>
              </w:rPr>
            </w:pPr>
          </w:p>
        </w:tc>
        <w:tc>
          <w:tcPr>
            <w:tcW w:w="660" w:type="dxa"/>
            <w:gridSpan w:val="2"/>
            <w:vMerge w:val="continue"/>
            <w:tcBorders>
              <w:left w:val="single" w:color="auto" w:sz="4" w:space="0"/>
              <w:right w:val="single" w:color="auto" w:sz="4" w:space="0"/>
            </w:tcBorders>
            <w:noWrap w:val="0"/>
            <w:vAlign w:val="center"/>
          </w:tcPr>
          <w:p w14:paraId="09B8F774">
            <w:pPr>
              <w:widowControl/>
              <w:jc w:val="left"/>
              <w:rPr>
                <w:rFonts w:ascii="宋体"/>
                <w:color w:val="auto"/>
                <w:sz w:val="18"/>
                <w:szCs w:val="18"/>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14:paraId="430E9A80">
            <w:pPr>
              <w:widowControl/>
              <w:jc w:val="center"/>
              <w:rPr>
                <w:rFonts w:ascii="宋体"/>
                <w:color w:val="auto"/>
                <w:sz w:val="18"/>
                <w:szCs w:val="18"/>
              </w:rPr>
            </w:pPr>
            <w:r>
              <w:rPr>
                <w:rFonts w:ascii="宋体" w:hAnsi="宋体" w:eastAsia="宋体" w:cs="宋体"/>
                <w:sz w:val="18"/>
                <w:szCs w:val="18"/>
              </w:rPr>
              <w:t>风险</w:t>
            </w:r>
            <w:r>
              <w:rPr>
                <w:rFonts w:hint="eastAsia" w:ascii="宋体" w:hAnsi="宋体" w:eastAsia="宋体" w:cs="宋体"/>
                <w:sz w:val="18"/>
                <w:szCs w:val="18"/>
                <w:lang w:eastAsia="zh-CN"/>
              </w:rPr>
              <w:t>、</w:t>
            </w:r>
            <w:r>
              <w:rPr>
                <w:rFonts w:ascii="宋体" w:hAnsi="宋体" w:eastAsia="宋体" w:cs="宋体"/>
                <w:sz w:val="18"/>
                <w:szCs w:val="18"/>
              </w:rPr>
              <w:t>安全与保障措施</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FF16FD4">
            <w:pPr>
              <w:jc w:val="center"/>
              <w:rPr>
                <w:rFonts w:hint="default" w:ascii="宋体" w:eastAsia="宋体"/>
                <w:color w:val="auto"/>
                <w:sz w:val="18"/>
                <w:szCs w:val="18"/>
                <w:lang w:val="en-US" w:eastAsia="zh-CN"/>
              </w:rPr>
            </w:pPr>
            <w:r>
              <w:rPr>
                <w:rFonts w:hint="eastAsia" w:ascii="宋体"/>
                <w:color w:val="auto"/>
                <w:sz w:val="18"/>
                <w:szCs w:val="18"/>
                <w:lang w:val="en-US" w:eastAsia="zh-CN"/>
              </w:rPr>
              <w:t>15</w:t>
            </w:r>
          </w:p>
        </w:tc>
        <w:tc>
          <w:tcPr>
            <w:tcW w:w="5670" w:type="dxa"/>
            <w:tcBorders>
              <w:top w:val="single" w:color="auto" w:sz="4" w:space="0"/>
              <w:left w:val="single" w:color="auto" w:sz="4" w:space="0"/>
              <w:bottom w:val="single" w:color="auto" w:sz="4" w:space="0"/>
              <w:right w:val="single" w:color="auto" w:sz="4" w:space="0"/>
            </w:tcBorders>
            <w:noWrap w:val="0"/>
            <w:vAlign w:val="center"/>
          </w:tcPr>
          <w:p w14:paraId="38C8DB2E">
            <w:pPr>
              <w:keepNext w:val="0"/>
              <w:keepLines w:val="0"/>
              <w:widowControl/>
              <w:suppressLineNumbers w:val="0"/>
              <w:jc w:val="left"/>
              <w:rPr>
                <w:rFonts w:hint="default" w:eastAsia="宋体"/>
                <w:color w:val="auto"/>
                <w:sz w:val="18"/>
                <w:szCs w:val="18"/>
                <w:lang w:val="en-US" w:eastAsia="zh-CN"/>
              </w:rPr>
            </w:pPr>
            <w:r>
              <w:rPr>
                <w:rFonts w:ascii="宋体" w:hAnsi="宋体" w:eastAsia="宋体" w:cs="宋体"/>
                <w:kern w:val="0"/>
                <w:sz w:val="18"/>
                <w:szCs w:val="18"/>
                <w:lang w:val="en-US" w:eastAsia="zh-CN" w:bidi="ar"/>
              </w:rPr>
              <w:t>全面识别了项目潜在的技术、管理、外部风险。应对措施是否具体、有效，是否有应急预案。</w:t>
            </w:r>
            <w:r>
              <w:rPr>
                <w:rFonts w:ascii="宋体" w:hAnsi="宋体" w:eastAsia="宋体" w:cs="宋体"/>
                <w:sz w:val="18"/>
                <w:szCs w:val="18"/>
              </w:rPr>
              <w:t>施工安全、环境保护方案是否具体、符合法规</w:t>
            </w:r>
            <w:r>
              <w:rPr>
                <w:rFonts w:hint="eastAsia" w:ascii="宋体" w:hAnsi="宋体" w:eastAsia="宋体" w:cs="宋体"/>
                <w:sz w:val="18"/>
                <w:szCs w:val="18"/>
                <w:lang w:eastAsia="zh-CN"/>
              </w:rPr>
              <w:t>（</w:t>
            </w:r>
            <w:r>
              <w:rPr>
                <w:rFonts w:hint="eastAsia" w:ascii="宋体" w:hAnsi="宋体" w:eastAsia="宋体" w:cs="宋体"/>
                <w:sz w:val="18"/>
                <w:szCs w:val="18"/>
                <w:lang w:val="en-US" w:eastAsia="zh-CN"/>
              </w:rPr>
              <w:t>0-</w:t>
            </w:r>
            <w:r>
              <w:rPr>
                <w:rFonts w:hint="eastAsia" w:ascii="宋体" w:hAnsi="宋体" w:cs="宋体"/>
                <w:sz w:val="18"/>
                <w:szCs w:val="18"/>
                <w:lang w:val="en-US" w:eastAsia="zh-CN"/>
              </w:rPr>
              <w:t>15</w:t>
            </w:r>
            <w:r>
              <w:rPr>
                <w:rFonts w:hint="eastAsia"/>
                <w:color w:val="auto"/>
                <w:sz w:val="18"/>
                <w:szCs w:val="18"/>
                <w:lang w:val="en-US" w:eastAsia="zh-CN"/>
              </w:rPr>
              <w:t>分</w:t>
            </w:r>
            <w:r>
              <w:rPr>
                <w:rFonts w:hint="eastAsia" w:ascii="宋体" w:hAnsi="宋体" w:eastAsia="宋体" w:cs="宋体"/>
                <w:sz w:val="18"/>
                <w:szCs w:val="18"/>
                <w:lang w:val="en-US" w:eastAsia="zh-CN"/>
              </w:rPr>
              <w:t>）</w:t>
            </w:r>
          </w:p>
        </w:tc>
      </w:tr>
      <w:tr w14:paraId="4F2721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977" w:type="dxa"/>
            <w:vMerge w:val="continue"/>
            <w:tcBorders>
              <w:left w:val="single" w:color="auto" w:sz="4" w:space="0"/>
              <w:right w:val="single" w:color="auto" w:sz="4" w:space="0"/>
            </w:tcBorders>
            <w:noWrap w:val="0"/>
            <w:vAlign w:val="center"/>
          </w:tcPr>
          <w:p w14:paraId="0D3A3C5B">
            <w:pPr>
              <w:widowControl/>
              <w:jc w:val="left"/>
              <w:rPr>
                <w:rFonts w:ascii="宋体"/>
                <w:sz w:val="18"/>
                <w:szCs w:val="18"/>
              </w:rPr>
            </w:pPr>
          </w:p>
        </w:tc>
        <w:tc>
          <w:tcPr>
            <w:tcW w:w="660" w:type="dxa"/>
            <w:gridSpan w:val="2"/>
            <w:vMerge w:val="continue"/>
            <w:tcBorders>
              <w:left w:val="single" w:color="auto" w:sz="4" w:space="0"/>
              <w:right w:val="single" w:color="auto" w:sz="4" w:space="0"/>
            </w:tcBorders>
            <w:noWrap w:val="0"/>
            <w:vAlign w:val="center"/>
          </w:tcPr>
          <w:p w14:paraId="54AD8ADE">
            <w:pPr>
              <w:widowControl/>
              <w:jc w:val="left"/>
              <w:rPr>
                <w:rFonts w:ascii="宋体"/>
                <w:color w:val="auto"/>
                <w:sz w:val="18"/>
                <w:szCs w:val="18"/>
              </w:rPr>
            </w:pPr>
          </w:p>
        </w:tc>
        <w:tc>
          <w:tcPr>
            <w:tcW w:w="121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163634">
            <w:pPr>
              <w:jc w:val="center"/>
              <w:rPr>
                <w:rFonts w:hint="eastAsia" w:ascii="宋体" w:hAnsi="宋体" w:eastAsia="宋体" w:cs="Times New Roman"/>
                <w:color w:val="auto"/>
                <w:kern w:val="2"/>
                <w:sz w:val="18"/>
                <w:szCs w:val="18"/>
                <w:lang w:val="en-US" w:eastAsia="zh-CN" w:bidi="ar-SA"/>
              </w:rPr>
            </w:pPr>
            <w:r>
              <w:rPr>
                <w:rFonts w:hint="eastAsia" w:ascii="宋体" w:hAnsi="宋体"/>
                <w:color w:val="auto"/>
                <w:sz w:val="18"/>
                <w:szCs w:val="18"/>
                <w:lang w:val="en-US" w:eastAsia="zh-CN"/>
              </w:rPr>
              <w:t>其他</w:t>
            </w:r>
          </w:p>
        </w:tc>
        <w:tc>
          <w:tcPr>
            <w:tcW w:w="70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E88240">
            <w:pPr>
              <w:jc w:val="center"/>
              <w:rPr>
                <w:rFonts w:hint="eastAsia" w:ascii="宋体" w:hAnsi="Calibri" w:eastAsia="宋体" w:cs="Times New Roman"/>
                <w:color w:val="auto"/>
                <w:kern w:val="2"/>
                <w:sz w:val="18"/>
                <w:szCs w:val="18"/>
                <w:lang w:val="en-US" w:eastAsia="zh-CN" w:bidi="ar-SA"/>
              </w:rPr>
            </w:pPr>
            <w:r>
              <w:rPr>
                <w:rFonts w:hint="eastAsia" w:ascii="宋体" w:hAnsi="Calibri"/>
                <w:color w:val="auto"/>
                <w:kern w:val="2"/>
                <w:sz w:val="18"/>
                <w:szCs w:val="18"/>
                <w:lang w:val="en-US" w:eastAsia="zh-CN" w:bidi="ar-SA"/>
              </w:rPr>
              <w:t>10</w:t>
            </w:r>
          </w:p>
        </w:tc>
        <w:tc>
          <w:tcPr>
            <w:tcW w:w="56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F44A6D">
            <w:pPr>
              <w:tabs>
                <w:tab w:val="left" w:pos="7854"/>
              </w:tabs>
              <w:spacing w:line="300" w:lineRule="exact"/>
              <w:rPr>
                <w:rFonts w:hint="eastAsia" w:ascii="Times New Roman" w:hAnsi="Times New Roman" w:eastAsia="宋体" w:cs="Times New Roman"/>
                <w:color w:val="auto"/>
                <w:kern w:val="2"/>
                <w:sz w:val="18"/>
                <w:szCs w:val="18"/>
                <w:lang w:val="en-US" w:eastAsia="zh-CN" w:bidi="ar-SA"/>
              </w:rPr>
            </w:pPr>
            <w:r>
              <w:rPr>
                <w:rFonts w:hint="eastAsia"/>
                <w:color w:val="auto"/>
                <w:sz w:val="18"/>
                <w:szCs w:val="18"/>
                <w:lang w:val="en-US" w:eastAsia="zh-CN"/>
              </w:rPr>
              <w:t>优于招标文件要求或服务质量；评标现场答疑情况等（0-10</w:t>
            </w:r>
            <w:r>
              <w:rPr>
                <w:rFonts w:ascii="宋体" w:hAnsi="宋体" w:eastAsia="宋体" w:cs="宋体"/>
                <w:sz w:val="18"/>
                <w:szCs w:val="18"/>
              </w:rPr>
              <w:t>分</w:t>
            </w:r>
            <w:r>
              <w:rPr>
                <w:rFonts w:hint="eastAsia"/>
                <w:color w:val="auto"/>
                <w:sz w:val="18"/>
                <w:szCs w:val="18"/>
                <w:lang w:val="en-US" w:eastAsia="zh-CN"/>
              </w:rPr>
              <w:t>）</w:t>
            </w:r>
          </w:p>
        </w:tc>
      </w:tr>
      <w:tr w14:paraId="7E40F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977" w:type="dxa"/>
            <w:vMerge w:val="continue"/>
            <w:tcBorders>
              <w:left w:val="single" w:color="auto" w:sz="4" w:space="0"/>
              <w:right w:val="single" w:color="auto" w:sz="4" w:space="0"/>
            </w:tcBorders>
            <w:noWrap w:val="0"/>
            <w:vAlign w:val="center"/>
          </w:tcPr>
          <w:p w14:paraId="5AE11E12">
            <w:pPr>
              <w:widowControl/>
              <w:jc w:val="left"/>
              <w:rPr>
                <w:rFonts w:ascii="宋体"/>
                <w:sz w:val="18"/>
                <w:szCs w:val="18"/>
              </w:rPr>
            </w:pPr>
          </w:p>
        </w:tc>
        <w:tc>
          <w:tcPr>
            <w:tcW w:w="660" w:type="dxa"/>
            <w:gridSpan w:val="2"/>
            <w:vMerge w:val="continue"/>
            <w:tcBorders>
              <w:left w:val="single" w:color="auto" w:sz="4" w:space="0"/>
              <w:right w:val="single" w:color="auto" w:sz="4" w:space="0"/>
            </w:tcBorders>
            <w:noWrap w:val="0"/>
            <w:vAlign w:val="center"/>
          </w:tcPr>
          <w:p w14:paraId="5F005483">
            <w:pPr>
              <w:widowControl/>
              <w:jc w:val="left"/>
              <w:rPr>
                <w:rFonts w:ascii="宋体"/>
                <w:color w:val="auto"/>
                <w:sz w:val="18"/>
                <w:szCs w:val="18"/>
              </w:rPr>
            </w:pPr>
          </w:p>
        </w:tc>
        <w:tc>
          <w:tcPr>
            <w:tcW w:w="1211" w:type="dxa"/>
            <w:tcBorders>
              <w:top w:val="single" w:color="auto" w:sz="4" w:space="0"/>
              <w:left w:val="single" w:color="auto" w:sz="4" w:space="0"/>
              <w:bottom w:val="single" w:color="auto" w:sz="4" w:space="0"/>
              <w:right w:val="single" w:color="auto" w:sz="4" w:space="0"/>
            </w:tcBorders>
            <w:noWrap w:val="0"/>
            <w:vAlign w:val="center"/>
          </w:tcPr>
          <w:p w14:paraId="22B10094">
            <w:pPr>
              <w:jc w:val="center"/>
              <w:rPr>
                <w:rFonts w:ascii="宋体" w:hAnsi="Calibri"/>
                <w:color w:val="auto"/>
                <w:kern w:val="2"/>
                <w:sz w:val="18"/>
                <w:szCs w:val="18"/>
                <w:lang w:val="en-US" w:eastAsia="zh-CN" w:bidi="ar-SA"/>
              </w:rPr>
            </w:pPr>
            <w:r>
              <w:rPr>
                <w:rFonts w:hint="eastAsia" w:ascii="宋体" w:hAnsi="宋体"/>
                <w:color w:val="auto"/>
                <w:sz w:val="18"/>
                <w:szCs w:val="18"/>
              </w:rPr>
              <w:t>业绩</w:t>
            </w:r>
          </w:p>
        </w:tc>
        <w:tc>
          <w:tcPr>
            <w:tcW w:w="709" w:type="dxa"/>
            <w:tcBorders>
              <w:top w:val="single" w:color="auto" w:sz="4" w:space="0"/>
              <w:left w:val="single" w:color="auto" w:sz="4" w:space="0"/>
              <w:bottom w:val="single" w:color="auto" w:sz="4" w:space="0"/>
              <w:right w:val="single" w:color="auto" w:sz="4" w:space="0"/>
            </w:tcBorders>
            <w:noWrap w:val="0"/>
            <w:vAlign w:val="center"/>
          </w:tcPr>
          <w:p w14:paraId="7F434ADE">
            <w:pPr>
              <w:jc w:val="center"/>
              <w:rPr>
                <w:rFonts w:hint="default" w:ascii="宋体" w:hAnsi="Calibri" w:eastAsia="宋体"/>
                <w:color w:val="auto"/>
                <w:kern w:val="2"/>
                <w:sz w:val="18"/>
                <w:szCs w:val="18"/>
                <w:lang w:val="en-US" w:eastAsia="zh-CN" w:bidi="ar-SA"/>
              </w:rPr>
            </w:pPr>
            <w:r>
              <w:rPr>
                <w:rFonts w:hint="eastAsia" w:ascii="宋体" w:hAnsi="Calibri"/>
                <w:color w:val="auto"/>
                <w:kern w:val="2"/>
                <w:sz w:val="18"/>
                <w:szCs w:val="18"/>
                <w:lang w:val="en-US" w:eastAsia="zh-CN" w:bidi="ar-SA"/>
              </w:rPr>
              <w:t>5</w:t>
            </w:r>
          </w:p>
        </w:tc>
        <w:tc>
          <w:tcPr>
            <w:tcW w:w="5670" w:type="dxa"/>
            <w:tcBorders>
              <w:top w:val="single" w:color="auto" w:sz="4" w:space="0"/>
              <w:left w:val="single" w:color="auto" w:sz="4" w:space="0"/>
              <w:bottom w:val="single" w:color="auto" w:sz="4" w:space="0"/>
              <w:right w:val="single" w:color="auto" w:sz="4" w:space="0"/>
            </w:tcBorders>
            <w:noWrap w:val="0"/>
            <w:vAlign w:val="center"/>
          </w:tcPr>
          <w:p w14:paraId="0136AF2C">
            <w:pPr>
              <w:tabs>
                <w:tab w:val="left" w:pos="7854"/>
              </w:tabs>
              <w:spacing w:line="300" w:lineRule="exact"/>
              <w:rPr>
                <w:rFonts w:hint="eastAsia" w:ascii="Calibri" w:hAnsi="Calibri"/>
                <w:color w:val="auto"/>
                <w:kern w:val="2"/>
                <w:sz w:val="18"/>
                <w:szCs w:val="18"/>
                <w:lang w:val="en-US" w:eastAsia="zh-CN" w:bidi="ar-SA"/>
              </w:rPr>
            </w:pPr>
            <w:r>
              <w:rPr>
                <w:rFonts w:hint="eastAsia"/>
                <w:color w:val="auto"/>
                <w:sz w:val="18"/>
                <w:szCs w:val="18"/>
                <w:lang w:val="en-US" w:eastAsia="zh-CN"/>
              </w:rPr>
              <w:t>投标文件中</w:t>
            </w:r>
            <w:r>
              <w:rPr>
                <w:rFonts w:hint="eastAsia"/>
                <w:color w:val="auto"/>
                <w:sz w:val="18"/>
                <w:szCs w:val="18"/>
              </w:rPr>
              <w:t>提供3份以上投标同类</w:t>
            </w:r>
            <w:r>
              <w:rPr>
                <w:rFonts w:hint="eastAsia"/>
                <w:color w:val="auto"/>
                <w:sz w:val="18"/>
                <w:szCs w:val="18"/>
                <w:lang w:val="en-US" w:eastAsia="zh-CN"/>
              </w:rPr>
              <w:t>业绩</w:t>
            </w:r>
            <w:r>
              <w:rPr>
                <w:rFonts w:hint="eastAsia"/>
                <w:color w:val="auto"/>
                <w:sz w:val="18"/>
                <w:szCs w:val="18"/>
              </w:rPr>
              <w:t>，得</w:t>
            </w:r>
            <w:r>
              <w:rPr>
                <w:rFonts w:hint="eastAsia"/>
                <w:color w:val="auto"/>
                <w:sz w:val="18"/>
                <w:szCs w:val="18"/>
                <w:lang w:val="en-US" w:eastAsia="zh-CN"/>
              </w:rPr>
              <w:t>5</w:t>
            </w:r>
            <w:r>
              <w:rPr>
                <w:rFonts w:hint="eastAsia"/>
                <w:color w:val="auto"/>
                <w:sz w:val="18"/>
                <w:szCs w:val="18"/>
              </w:rPr>
              <w:t>分；提供3份得</w:t>
            </w:r>
            <w:r>
              <w:rPr>
                <w:rFonts w:hint="eastAsia"/>
                <w:color w:val="auto"/>
                <w:sz w:val="18"/>
                <w:szCs w:val="18"/>
                <w:lang w:val="en-US" w:eastAsia="zh-CN"/>
              </w:rPr>
              <w:t>3</w:t>
            </w:r>
            <w:r>
              <w:rPr>
                <w:rFonts w:hint="eastAsia"/>
                <w:color w:val="auto"/>
                <w:sz w:val="18"/>
                <w:szCs w:val="18"/>
              </w:rPr>
              <w:t>分；</w:t>
            </w:r>
            <w:r>
              <w:rPr>
                <w:rFonts w:hint="eastAsia"/>
                <w:color w:val="auto"/>
                <w:sz w:val="18"/>
                <w:szCs w:val="18"/>
                <w:lang w:val="en-US" w:eastAsia="zh-CN"/>
              </w:rPr>
              <w:t>依次减少，</w:t>
            </w:r>
            <w:r>
              <w:rPr>
                <w:rFonts w:hint="eastAsia"/>
                <w:color w:val="auto"/>
                <w:sz w:val="18"/>
                <w:szCs w:val="18"/>
              </w:rPr>
              <w:t>无</w:t>
            </w:r>
            <w:r>
              <w:rPr>
                <w:rFonts w:hint="eastAsia"/>
                <w:color w:val="auto"/>
                <w:sz w:val="18"/>
                <w:szCs w:val="18"/>
                <w:lang w:val="en-US" w:eastAsia="zh-CN"/>
              </w:rPr>
              <w:t>业绩</w:t>
            </w:r>
            <w:r>
              <w:rPr>
                <w:rFonts w:hint="eastAsia"/>
                <w:color w:val="auto"/>
                <w:sz w:val="18"/>
                <w:szCs w:val="18"/>
              </w:rPr>
              <w:t>材料的，不得分。</w:t>
            </w:r>
          </w:p>
        </w:tc>
      </w:tr>
      <w:tr w14:paraId="5AC47A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9227" w:type="dxa"/>
            <w:gridSpan w:val="6"/>
            <w:tcBorders>
              <w:top w:val="single" w:color="auto" w:sz="4" w:space="0"/>
              <w:left w:val="single" w:color="auto" w:sz="4" w:space="0"/>
              <w:right w:val="single" w:color="auto" w:sz="4" w:space="0"/>
            </w:tcBorders>
            <w:noWrap w:val="0"/>
            <w:vAlign w:val="center"/>
          </w:tcPr>
          <w:p w14:paraId="315C2146">
            <w:pPr>
              <w:numPr>
                <w:ilvl w:val="0"/>
                <w:numId w:val="0"/>
              </w:numPr>
              <w:spacing w:line="440" w:lineRule="exact"/>
              <w:ind w:right="34" w:rightChars="16"/>
              <w:jc w:val="left"/>
              <w:rPr>
                <w:rFonts w:hint="default"/>
                <w:color w:val="auto"/>
                <w:sz w:val="18"/>
                <w:szCs w:val="18"/>
                <w:lang w:val="en-US"/>
              </w:rPr>
            </w:pPr>
            <w:r>
              <w:rPr>
                <w:rFonts w:hint="eastAsia"/>
                <w:b/>
                <w:bCs/>
                <w:color w:val="auto"/>
                <w:sz w:val="18"/>
                <w:szCs w:val="18"/>
                <w:lang w:val="en-US" w:eastAsia="zh-CN"/>
              </w:rPr>
              <w:t>二、商务评分</w:t>
            </w:r>
          </w:p>
        </w:tc>
      </w:tr>
      <w:tr w14:paraId="3900FA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0" w:hRule="atLeast"/>
          <w:jc w:val="center"/>
        </w:trPr>
        <w:tc>
          <w:tcPr>
            <w:tcW w:w="986" w:type="dxa"/>
            <w:gridSpan w:val="2"/>
            <w:tcBorders>
              <w:top w:val="single" w:color="auto" w:sz="4" w:space="0"/>
              <w:left w:val="single" w:color="auto" w:sz="4" w:space="0"/>
              <w:right w:val="single" w:color="auto" w:sz="4" w:space="0"/>
            </w:tcBorders>
            <w:noWrap w:val="0"/>
            <w:vAlign w:val="center"/>
          </w:tcPr>
          <w:p w14:paraId="6C19A13B">
            <w:pPr>
              <w:tabs>
                <w:tab w:val="left" w:pos="7854"/>
              </w:tabs>
              <w:spacing w:line="300" w:lineRule="exact"/>
              <w:rPr>
                <w:rFonts w:hint="eastAsia"/>
                <w:b/>
                <w:bCs/>
                <w:color w:val="auto"/>
                <w:sz w:val="18"/>
                <w:szCs w:val="18"/>
                <w:lang w:val="en-US" w:eastAsia="zh-CN"/>
              </w:rPr>
            </w:pPr>
            <w:r>
              <w:rPr>
                <w:rFonts w:hint="eastAsia"/>
                <w:color w:val="auto"/>
                <w:sz w:val="18"/>
                <w:szCs w:val="18"/>
                <w:lang w:val="en-US" w:eastAsia="zh-CN"/>
              </w:rPr>
              <w:t>商务因素</w:t>
            </w:r>
          </w:p>
        </w:tc>
        <w:tc>
          <w:tcPr>
            <w:tcW w:w="8241" w:type="dxa"/>
            <w:gridSpan w:val="4"/>
            <w:tcBorders>
              <w:top w:val="single" w:color="auto" w:sz="4" w:space="0"/>
              <w:left w:val="single" w:color="auto" w:sz="4" w:space="0"/>
              <w:right w:val="single" w:color="auto" w:sz="4" w:space="0"/>
            </w:tcBorders>
            <w:noWrap w:val="0"/>
            <w:vAlign w:val="center"/>
          </w:tcPr>
          <w:p w14:paraId="7B444B1D">
            <w:pPr>
              <w:tabs>
                <w:tab w:val="left" w:pos="7854"/>
              </w:tabs>
              <w:spacing w:line="300" w:lineRule="exact"/>
              <w:rPr>
                <w:rFonts w:hint="eastAsia"/>
                <w:color w:val="auto"/>
                <w:sz w:val="18"/>
                <w:szCs w:val="18"/>
                <w:lang w:val="en-US" w:eastAsia="zh-CN"/>
              </w:rPr>
            </w:pPr>
            <w:r>
              <w:rPr>
                <w:rFonts w:hint="eastAsia"/>
                <w:color w:val="auto"/>
                <w:sz w:val="18"/>
                <w:szCs w:val="18"/>
              </w:rPr>
              <w:t>1.经初审合格的投标</w:t>
            </w:r>
            <w:r>
              <w:rPr>
                <w:rFonts w:hint="eastAsia"/>
                <w:color w:val="auto"/>
                <w:sz w:val="18"/>
                <w:szCs w:val="18"/>
                <w:lang w:val="en-US" w:eastAsia="zh-CN"/>
              </w:rPr>
              <w:t>商务</w:t>
            </w:r>
            <w:r>
              <w:rPr>
                <w:rFonts w:hint="eastAsia"/>
                <w:color w:val="auto"/>
                <w:sz w:val="18"/>
                <w:szCs w:val="18"/>
              </w:rPr>
              <w:t>文件其投标报价为有效报价。</w:t>
            </w:r>
            <w:r>
              <w:rPr>
                <w:rFonts w:hint="eastAsia"/>
                <w:color w:val="auto"/>
                <w:sz w:val="18"/>
                <w:szCs w:val="18"/>
              </w:rPr>
              <w:br w:type="textWrapping"/>
            </w:r>
            <w:r>
              <w:rPr>
                <w:rFonts w:hint="eastAsia"/>
                <w:color w:val="auto"/>
                <w:sz w:val="18"/>
                <w:szCs w:val="18"/>
                <w:lang w:val="en-US" w:eastAsia="zh-CN"/>
              </w:rPr>
              <w:t>2.</w:t>
            </w:r>
            <w:r>
              <w:rPr>
                <w:rFonts w:hint="eastAsia"/>
                <w:color w:val="auto"/>
                <w:sz w:val="18"/>
                <w:szCs w:val="18"/>
              </w:rPr>
              <w:t>投标报价</w:t>
            </w:r>
            <w:r>
              <w:rPr>
                <w:rFonts w:hint="eastAsia"/>
                <w:color w:val="auto"/>
                <w:sz w:val="18"/>
                <w:szCs w:val="18"/>
                <w:lang w:val="en-US" w:eastAsia="zh-CN"/>
              </w:rPr>
              <w:t>分解明细价格合理，</w:t>
            </w:r>
          </w:p>
          <w:p w14:paraId="16138C2F">
            <w:pPr>
              <w:tabs>
                <w:tab w:val="left" w:pos="7854"/>
              </w:tabs>
              <w:spacing w:line="300" w:lineRule="exact"/>
              <w:rPr>
                <w:rFonts w:hint="eastAsia"/>
                <w:b/>
                <w:bCs/>
                <w:color w:val="auto"/>
                <w:sz w:val="18"/>
                <w:szCs w:val="18"/>
                <w:lang w:val="en-US" w:eastAsia="zh-CN"/>
              </w:rPr>
            </w:pPr>
            <w:r>
              <w:rPr>
                <w:rFonts w:hint="eastAsia" w:eastAsia="宋体" w:cs="Times New Roman"/>
                <w:color w:val="auto"/>
                <w:sz w:val="18"/>
                <w:szCs w:val="18"/>
                <w:lang w:val="en-US" w:eastAsia="zh-CN"/>
              </w:rPr>
              <w:t>3.最终投标报价应合理，评审过程可增加多轮报价。</w:t>
            </w:r>
          </w:p>
        </w:tc>
      </w:tr>
      <w:tr w14:paraId="0D665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9227" w:type="dxa"/>
            <w:gridSpan w:val="6"/>
            <w:tcBorders>
              <w:top w:val="single" w:color="auto" w:sz="4" w:space="0"/>
              <w:left w:val="single" w:color="auto" w:sz="4" w:space="0"/>
              <w:bottom w:val="single" w:color="auto" w:sz="4" w:space="0"/>
              <w:right w:val="single" w:color="auto" w:sz="4" w:space="0"/>
            </w:tcBorders>
            <w:noWrap w:val="0"/>
            <w:vAlign w:val="center"/>
          </w:tcPr>
          <w:p w14:paraId="545B4F07">
            <w:pPr>
              <w:numPr>
                <w:ilvl w:val="0"/>
                <w:numId w:val="0"/>
              </w:numPr>
              <w:tabs>
                <w:tab w:val="left" w:pos="7854"/>
              </w:tabs>
              <w:spacing w:line="300" w:lineRule="exact"/>
              <w:ind w:leftChars="0"/>
              <w:rPr>
                <w:rFonts w:hint="eastAsia"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备注：</w:t>
            </w:r>
          </w:p>
          <w:p w14:paraId="5D964A70">
            <w:pPr>
              <w:keepNext w:val="0"/>
              <w:keepLines w:val="0"/>
              <w:widowControl/>
              <w:suppressLineNumbers w:val="0"/>
              <w:jc w:val="left"/>
              <w:rPr>
                <w:rFonts w:hint="default" w:ascii="宋体" w:hAnsi="宋体" w:eastAsia="宋体" w:cs="宋体"/>
                <w:b w:val="0"/>
                <w:bCs w:val="0"/>
                <w:sz w:val="18"/>
                <w:szCs w:val="18"/>
                <w:lang w:val="en-US" w:eastAsia="zh-CN"/>
              </w:rPr>
            </w:pPr>
            <w:r>
              <w:rPr>
                <w:rFonts w:hint="eastAsia" w:ascii="宋体" w:hAnsi="宋体" w:eastAsia="宋体" w:cs="宋体"/>
                <w:b w:val="0"/>
                <w:bCs w:val="0"/>
                <w:sz w:val="18"/>
                <w:szCs w:val="18"/>
                <w:lang w:val="en-US" w:eastAsia="zh-CN"/>
              </w:rPr>
              <w:t>1、</w:t>
            </w:r>
            <w:r>
              <w:rPr>
                <w:rFonts w:hint="eastAsia" w:ascii="宋体" w:hAnsi="宋体" w:cs="宋体"/>
                <w:b w:val="0"/>
                <w:bCs w:val="0"/>
                <w:sz w:val="18"/>
                <w:szCs w:val="18"/>
                <w:lang w:val="en-US" w:eastAsia="zh-CN"/>
              </w:rPr>
              <w:t>原则上技术分在80分以上进入商务标。</w:t>
            </w:r>
          </w:p>
          <w:p w14:paraId="590D004C">
            <w:pPr>
              <w:tabs>
                <w:tab w:val="left" w:pos="7854"/>
              </w:tabs>
              <w:spacing w:line="300" w:lineRule="exact"/>
              <w:rPr>
                <w:rFonts w:hint="eastAsia" w:ascii="宋体" w:hAnsi="宋体" w:cs="宋体"/>
                <w:b w:val="0"/>
                <w:bCs w:val="0"/>
                <w:color w:val="000000"/>
                <w:kern w:val="0"/>
                <w:sz w:val="18"/>
                <w:szCs w:val="18"/>
                <w:lang w:val="en-US" w:eastAsia="zh-CN" w:bidi="ar"/>
              </w:rPr>
            </w:pPr>
            <w:r>
              <w:rPr>
                <w:rFonts w:hint="eastAsia" w:ascii="宋体" w:hAnsi="宋体" w:cs="宋体"/>
                <w:b w:val="0"/>
                <w:bCs w:val="0"/>
                <w:sz w:val="18"/>
                <w:szCs w:val="18"/>
                <w:lang w:val="en-US" w:eastAsia="zh-CN"/>
              </w:rPr>
              <w:t>2、</w:t>
            </w:r>
            <w:r>
              <w:rPr>
                <w:rFonts w:hint="eastAsia" w:ascii="宋体" w:hAnsi="宋体" w:eastAsia="宋体" w:cs="宋体"/>
                <w:b w:val="0"/>
                <w:bCs w:val="0"/>
                <w:sz w:val="18"/>
                <w:szCs w:val="18"/>
                <w:lang w:val="en-US" w:eastAsia="zh-CN"/>
              </w:rPr>
              <w:t>开标后进行两级评标，</w:t>
            </w:r>
            <w:r>
              <w:rPr>
                <w:rFonts w:hint="eastAsia" w:ascii="宋体" w:hAnsi="宋体" w:cs="宋体"/>
                <w:b w:val="0"/>
                <w:bCs w:val="0"/>
                <w:sz w:val="18"/>
                <w:szCs w:val="18"/>
                <w:lang w:val="en-US" w:eastAsia="zh-CN"/>
              </w:rPr>
              <w:t>入围商务标后</w:t>
            </w:r>
            <w:r>
              <w:rPr>
                <w:rFonts w:hint="eastAsia" w:ascii="宋体" w:hAnsi="宋体" w:eastAsia="宋体" w:cs="宋体"/>
                <w:b w:val="0"/>
                <w:bCs w:val="0"/>
                <w:sz w:val="18"/>
                <w:szCs w:val="18"/>
                <w:lang w:val="en-US" w:eastAsia="zh-CN"/>
              </w:rPr>
              <w:t>，在第一级评标过程中，专家组进行评标，</w:t>
            </w:r>
            <w:r>
              <w:rPr>
                <w:rFonts w:hint="eastAsia" w:ascii="宋体" w:hAnsi="宋体" w:eastAsia="宋体" w:cs="宋体"/>
                <w:b w:val="0"/>
                <w:bCs w:val="0"/>
                <w:color w:val="000000"/>
                <w:kern w:val="0"/>
                <w:sz w:val="18"/>
                <w:szCs w:val="18"/>
                <w:lang w:val="en-US" w:eastAsia="zh-CN" w:bidi="ar"/>
              </w:rPr>
              <w:t>根据谈判结果择优推荐至少 2 家入围的候选中标人。第二级评标小组与第一级入围的候选中标人开展谈判，</w:t>
            </w:r>
            <w:r>
              <w:rPr>
                <w:rFonts w:hint="eastAsia" w:ascii="宋体" w:hAnsi="宋体" w:cs="宋体"/>
                <w:b w:val="0"/>
                <w:bCs w:val="0"/>
                <w:color w:val="000000"/>
                <w:kern w:val="0"/>
                <w:sz w:val="18"/>
                <w:szCs w:val="18"/>
                <w:lang w:val="en-US" w:eastAsia="zh-CN" w:bidi="ar"/>
              </w:rPr>
              <w:t>合理最低价格</w:t>
            </w:r>
            <w:r>
              <w:rPr>
                <w:rFonts w:hint="eastAsia" w:ascii="宋体" w:hAnsi="宋体" w:eastAsia="宋体" w:cs="宋体"/>
                <w:b w:val="0"/>
                <w:bCs w:val="0"/>
                <w:color w:val="000000"/>
                <w:kern w:val="0"/>
                <w:sz w:val="18"/>
                <w:szCs w:val="18"/>
                <w:lang w:val="en-US" w:eastAsia="zh-CN" w:bidi="ar"/>
              </w:rPr>
              <w:t>中</w:t>
            </w:r>
            <w:r>
              <w:rPr>
                <w:rFonts w:hint="eastAsia" w:ascii="宋体" w:hAnsi="宋体" w:cs="宋体"/>
                <w:b w:val="0"/>
                <w:bCs w:val="0"/>
                <w:color w:val="000000"/>
                <w:kern w:val="0"/>
                <w:sz w:val="18"/>
                <w:szCs w:val="18"/>
                <w:lang w:val="en-US" w:eastAsia="zh-CN" w:bidi="ar"/>
              </w:rPr>
              <w:t>标。</w:t>
            </w:r>
          </w:p>
          <w:p w14:paraId="7AEB0F64">
            <w:pPr>
              <w:tabs>
                <w:tab w:val="left" w:pos="7854"/>
              </w:tabs>
              <w:spacing w:line="300" w:lineRule="exact"/>
              <w:rPr>
                <w:rFonts w:hint="default" w:ascii="宋体" w:hAnsi="宋体" w:cs="宋体"/>
                <w:b w:val="0"/>
                <w:bCs w:val="0"/>
                <w:color w:val="000000"/>
                <w:kern w:val="0"/>
                <w:sz w:val="18"/>
                <w:szCs w:val="18"/>
                <w:lang w:val="en-US" w:eastAsia="zh-CN" w:bidi="ar"/>
              </w:rPr>
            </w:pPr>
          </w:p>
        </w:tc>
      </w:tr>
      <w:bookmarkEnd w:id="2"/>
      <w:bookmarkEnd w:id="3"/>
      <w:bookmarkEnd w:id="4"/>
      <w:bookmarkEnd w:id="5"/>
      <w:bookmarkEnd w:id="6"/>
      <w:bookmarkEnd w:id="7"/>
      <w:bookmarkEnd w:id="8"/>
      <w:bookmarkEnd w:id="9"/>
    </w:tbl>
    <w:p w14:paraId="50B9A27E">
      <w:pPr>
        <w:pStyle w:val="7"/>
        <w:spacing w:line="360" w:lineRule="auto"/>
        <w:ind w:firstLine="420" w:firstLineChars="200"/>
        <w:rPr>
          <w:rFonts w:hint="eastAsia"/>
        </w:rPr>
      </w:pPr>
      <w:r>
        <w:rPr>
          <w:rFonts w:hint="eastAsia"/>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变更意向中标人。</w:t>
      </w:r>
    </w:p>
    <w:p w14:paraId="42C5A85E">
      <w:pPr>
        <w:pStyle w:val="7"/>
        <w:spacing w:line="360" w:lineRule="auto"/>
        <w:rPr>
          <w:rFonts w:hint="eastAsia" w:ascii="黑体" w:eastAsia="黑体"/>
          <w:b/>
          <w:bCs/>
          <w:sz w:val="28"/>
        </w:rPr>
      </w:pPr>
      <w:r>
        <w:rPr>
          <w:rFonts w:hint="eastAsia" w:ascii="黑体" w:eastAsia="黑体"/>
          <w:b/>
          <w:bCs/>
          <w:sz w:val="28"/>
        </w:rPr>
        <w:t>八、合同签订</w:t>
      </w:r>
    </w:p>
    <w:p w14:paraId="32961A20">
      <w:pPr>
        <w:spacing w:line="360" w:lineRule="auto"/>
        <w:ind w:right="2" w:firstLine="420" w:firstLineChars="200"/>
        <w:rPr>
          <w:rFonts w:hint="eastAsia" w:ascii="宋体" w:hAnsi="Courier New"/>
          <w:szCs w:val="22"/>
        </w:rPr>
      </w:pPr>
      <w:r>
        <w:rPr>
          <w:rFonts w:hint="eastAsia" w:ascii="宋体" w:hAnsi="Courier New"/>
          <w:szCs w:val="22"/>
        </w:rPr>
        <w:t>1.根据评标工作小组的评标结果并按相关法律法规的规定及公司相关制度要求，确定中标人。中标人承诺无条件服从招标人针对该项目的后续所有安排。招标人不承诺将合同授予报价最低的投标人，也不对未中标人做任何解释。</w:t>
      </w:r>
    </w:p>
    <w:p w14:paraId="474CF3C6">
      <w:pPr>
        <w:spacing w:line="360" w:lineRule="auto"/>
        <w:ind w:right="2" w:firstLine="420" w:firstLineChars="200"/>
        <w:rPr>
          <w:rFonts w:hint="eastAsia" w:ascii="宋体" w:hAnsi="Courier New"/>
          <w:szCs w:val="22"/>
        </w:rPr>
      </w:pPr>
      <w:r>
        <w:rPr>
          <w:rFonts w:hint="eastAsia" w:ascii="宋体" w:hAnsi="Courier New"/>
          <w:szCs w:val="22"/>
        </w:rPr>
        <w:t>2.招标人发送《中标通知书》给中标人，中标人应及时与招标人联系，在招标人要求的时间内完成合同签订，如果中标人接到《中标通知书》后，无正当理由拒绝按其规定的期限与相关单位签订合同或在签订合同时向招标人或相关单位提出附加条件或者更改合同实质性内容的，投标保证金不予返还，招标人有权取消其中标资格，招标人将从剩余投标人中依序重新确定中标人，或重新组织招标。</w:t>
      </w:r>
    </w:p>
    <w:p w14:paraId="18525E58">
      <w:pPr>
        <w:spacing w:line="360" w:lineRule="auto"/>
        <w:ind w:right="2" w:firstLine="420" w:firstLineChars="200"/>
        <w:rPr>
          <w:rFonts w:hint="eastAsia" w:ascii="宋体" w:hAnsi="Courier New"/>
          <w:szCs w:val="22"/>
        </w:rPr>
      </w:pPr>
      <w:r>
        <w:rPr>
          <w:rFonts w:hint="eastAsia" w:ascii="宋体" w:hAnsi="Courier New"/>
          <w:szCs w:val="22"/>
        </w:rPr>
        <w:t>3.中标人应当按照合同约定的履约责任，向招标人指定的合同签订单位缴纳履约保证金/万元（具体数额以合同约定为准），如中标人未按合同及其附件约定履行应承担的责任，招标人或招标人指定的合同签订单位有权扣除其履约保证金。</w:t>
      </w:r>
    </w:p>
    <w:p w14:paraId="44A981DB">
      <w:pPr>
        <w:spacing w:line="360" w:lineRule="auto"/>
        <w:ind w:right="2" w:firstLine="420" w:firstLineChars="200"/>
        <w:rPr>
          <w:rFonts w:hint="eastAsia" w:ascii="宋体" w:hAnsi="Courier New"/>
          <w:szCs w:val="22"/>
        </w:rPr>
      </w:pPr>
      <w:r>
        <w:rPr>
          <w:rFonts w:hint="eastAsia" w:ascii="宋体" w:hAnsi="Courier New"/>
          <w:szCs w:val="22"/>
        </w:rPr>
        <w:t>4.中标人应在保证质量的前提下完成中标项目，不得将中标项目转包或分包给他人，否则视为违约，招标人或相关单位有权解除合同。</w:t>
      </w:r>
    </w:p>
    <w:p w14:paraId="2FA51A95">
      <w:pPr>
        <w:spacing w:line="360" w:lineRule="auto"/>
        <w:ind w:right="2" w:firstLine="420" w:firstLineChars="200"/>
        <w:rPr>
          <w:rFonts w:hint="eastAsia" w:ascii="宋体" w:hAnsi="Courier New"/>
          <w:szCs w:val="22"/>
        </w:rPr>
      </w:pPr>
      <w:r>
        <w:rPr>
          <w:rFonts w:hint="eastAsia" w:ascii="宋体" w:hAnsi="Courier New"/>
          <w:szCs w:val="22"/>
        </w:rPr>
        <w:t>5.中标人由于履行义务的能力或信用有严重缺陷，招标人有权取消其中标资格，招标人将从剩余投标人中依序重新确定中标人，或重新组织招标。</w:t>
      </w:r>
    </w:p>
    <w:p w14:paraId="4D235229">
      <w:pPr>
        <w:spacing w:line="360" w:lineRule="auto"/>
        <w:ind w:right="2" w:firstLine="420" w:firstLineChars="200"/>
        <w:rPr>
          <w:rFonts w:hint="eastAsia" w:ascii="宋体" w:hAnsi="Courier New"/>
          <w:szCs w:val="22"/>
        </w:rPr>
      </w:pPr>
      <w:r>
        <w:rPr>
          <w:rFonts w:hint="eastAsia" w:ascii="宋体" w:hAnsi="Courier New"/>
          <w:szCs w:val="22"/>
        </w:rPr>
        <w:t>6.招标人有权指定招标人的关联单位作为合同签订人，与中标人签署相关合同，且具体权利义务以双方最终签署的合同为准。</w:t>
      </w:r>
    </w:p>
    <w:p w14:paraId="0E21A185">
      <w:pPr>
        <w:spacing w:line="360" w:lineRule="auto"/>
        <w:ind w:right="2" w:firstLine="420" w:firstLineChars="200"/>
        <w:rPr>
          <w:rFonts w:hint="eastAsia" w:ascii="宋体" w:hAnsi="Courier New"/>
          <w:szCs w:val="22"/>
        </w:rPr>
      </w:pPr>
      <w:r>
        <w:rPr>
          <w:rFonts w:hint="eastAsia" w:ascii="宋体" w:hAnsi="Courier New"/>
          <w:szCs w:val="22"/>
        </w:rPr>
        <w:t>7.中标人须认可由于招标人上级集团公司政策变化引起的合同签订前终止项目的要求。</w:t>
      </w:r>
    </w:p>
    <w:p w14:paraId="2B4F185B">
      <w:pPr>
        <w:pStyle w:val="7"/>
        <w:spacing w:line="360" w:lineRule="auto"/>
        <w:rPr>
          <w:rFonts w:hint="eastAsia" w:ascii="黑体" w:eastAsia="黑体"/>
          <w:b/>
          <w:bCs/>
          <w:sz w:val="28"/>
        </w:rPr>
      </w:pPr>
      <w:r>
        <w:rPr>
          <w:rFonts w:hint="eastAsia" w:ascii="黑体" w:eastAsia="黑体"/>
          <w:b/>
          <w:bCs/>
          <w:sz w:val="28"/>
        </w:rPr>
        <w:t>九、废标及终止招标</w:t>
      </w:r>
    </w:p>
    <w:p w14:paraId="203468CD">
      <w:pPr>
        <w:spacing w:line="360" w:lineRule="auto"/>
        <w:ind w:right="2" w:firstLine="420" w:firstLineChars="200"/>
        <w:rPr>
          <w:rFonts w:hint="eastAsia" w:ascii="宋体" w:hAnsi="Courier New"/>
        </w:rPr>
      </w:pPr>
      <w:r>
        <w:rPr>
          <w:rFonts w:hint="eastAsia" w:ascii="宋体" w:hAnsi="Courier New"/>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39A4763">
      <w:pPr>
        <w:spacing w:line="360" w:lineRule="auto"/>
        <w:ind w:right="2" w:firstLine="420" w:firstLineChars="200"/>
        <w:jc w:val="left"/>
        <w:rPr>
          <w:rFonts w:hint="eastAsia" w:ascii="宋体" w:hAnsi="Courier New"/>
        </w:rPr>
      </w:pPr>
      <w:r>
        <w:rPr>
          <w:rFonts w:hint="eastAsia" w:ascii="宋体" w:hAnsi="宋体"/>
        </w:rPr>
        <w:t>⑴</w:t>
      </w:r>
      <w:r>
        <w:rPr>
          <w:rFonts w:hint="eastAsia" w:ascii="宋体" w:hAnsi="Courier New"/>
        </w:rPr>
        <w:t>投标人提供的有关资格、资质证明文件不合格、不真实或提供虚假投标材料；</w:t>
      </w:r>
    </w:p>
    <w:p w14:paraId="04A5377B">
      <w:pPr>
        <w:spacing w:line="360" w:lineRule="auto"/>
        <w:ind w:right="2" w:firstLine="420" w:firstLineChars="200"/>
        <w:jc w:val="left"/>
        <w:rPr>
          <w:rFonts w:hint="eastAsia" w:ascii="宋体" w:hAnsi="Courier New"/>
        </w:rPr>
      </w:pPr>
      <w:r>
        <w:rPr>
          <w:rFonts w:hint="eastAsia" w:ascii="宋体" w:hAnsi="宋体"/>
        </w:rPr>
        <w:t>⑵</w:t>
      </w:r>
      <w:r>
        <w:rPr>
          <w:rFonts w:hint="eastAsia" w:ascii="宋体" w:hAnsi="Courier New"/>
        </w:rPr>
        <w:t>投标人在报价有效期内撤回投标；</w:t>
      </w:r>
    </w:p>
    <w:p w14:paraId="5125FAE1">
      <w:pPr>
        <w:spacing w:line="360" w:lineRule="auto"/>
        <w:ind w:right="2" w:firstLine="420" w:firstLineChars="200"/>
        <w:jc w:val="left"/>
        <w:rPr>
          <w:rFonts w:hint="eastAsia" w:ascii="宋体" w:hAnsi="Courier New"/>
        </w:rPr>
      </w:pPr>
      <w:r>
        <w:rPr>
          <w:rFonts w:hint="eastAsia" w:ascii="宋体" w:hAnsi="宋体"/>
        </w:rPr>
        <w:t>⑶</w:t>
      </w:r>
      <w:r>
        <w:rPr>
          <w:rFonts w:hint="eastAsia" w:ascii="宋体" w:hAnsi="Courier New"/>
        </w:rPr>
        <w:t>在整个评标过程中，投标人有企图影响评标结果公正性的任何活动；</w:t>
      </w:r>
    </w:p>
    <w:p w14:paraId="69FCA9BE">
      <w:pPr>
        <w:spacing w:line="360" w:lineRule="auto"/>
        <w:ind w:right="2" w:firstLine="420" w:firstLineChars="200"/>
        <w:jc w:val="left"/>
        <w:rPr>
          <w:rFonts w:hint="eastAsia" w:ascii="宋体" w:hAnsi="Courier New"/>
        </w:rPr>
      </w:pPr>
      <w:r>
        <w:rPr>
          <w:rFonts w:hint="eastAsia" w:ascii="宋体" w:hAnsi="宋体"/>
        </w:rPr>
        <w:t>⑷</w:t>
      </w:r>
      <w:r>
        <w:rPr>
          <w:rFonts w:hint="eastAsia" w:ascii="宋体" w:hAnsi="Courier New"/>
        </w:rPr>
        <w:t>投标人以任何方式诋毁其他投标人；</w:t>
      </w:r>
    </w:p>
    <w:p w14:paraId="14E616AB">
      <w:pPr>
        <w:spacing w:line="360" w:lineRule="auto"/>
        <w:ind w:right="2" w:firstLine="420" w:firstLineChars="200"/>
        <w:jc w:val="left"/>
        <w:rPr>
          <w:rFonts w:hint="eastAsia" w:ascii="宋体" w:hAnsi="Courier New"/>
        </w:rPr>
      </w:pPr>
      <w:r>
        <w:rPr>
          <w:rFonts w:hint="eastAsia" w:ascii="宋体" w:hAnsi="宋体"/>
        </w:rPr>
        <w:t>⑸</w:t>
      </w:r>
      <w:r>
        <w:rPr>
          <w:rFonts w:hint="eastAsia" w:ascii="宋体" w:hAnsi="Courier New"/>
        </w:rPr>
        <w:t>投标人串通投标；</w:t>
      </w:r>
    </w:p>
    <w:p w14:paraId="27EFDFCA">
      <w:pPr>
        <w:spacing w:line="360" w:lineRule="auto"/>
        <w:ind w:right="2" w:firstLine="420" w:firstLineChars="200"/>
        <w:jc w:val="left"/>
        <w:rPr>
          <w:rFonts w:hint="eastAsia" w:ascii="宋体" w:hAnsi="Courier New"/>
        </w:rPr>
      </w:pPr>
      <w:r>
        <w:rPr>
          <w:rFonts w:hint="eastAsia" w:ascii="宋体" w:hAnsi="宋体"/>
        </w:rPr>
        <w:t>⑹</w:t>
      </w:r>
      <w:r>
        <w:rPr>
          <w:rFonts w:hint="eastAsia" w:ascii="宋体" w:hAnsi="Courier New"/>
        </w:rPr>
        <w:t>以他人名义投标或者以其他方式弄虚作假，骗取中标的；</w:t>
      </w:r>
    </w:p>
    <w:p w14:paraId="7A9931C0">
      <w:pPr>
        <w:spacing w:line="360" w:lineRule="auto"/>
        <w:ind w:right="2" w:firstLine="420" w:firstLineChars="200"/>
        <w:jc w:val="left"/>
        <w:rPr>
          <w:rFonts w:hint="eastAsia"/>
        </w:rPr>
      </w:pPr>
      <w:r>
        <w:rPr>
          <w:rFonts w:hint="eastAsia" w:ascii="宋体" w:hAnsi="宋体"/>
        </w:rPr>
        <w:t>⑺</w:t>
      </w:r>
      <w:r>
        <w:rPr>
          <w:rFonts w:hint="eastAsia" w:ascii="宋体" w:hAnsi="Courier New"/>
        </w:rPr>
        <w:t>中标人不按规定签订合同；</w:t>
      </w:r>
    </w:p>
    <w:p w14:paraId="41CA46AA">
      <w:pPr>
        <w:spacing w:line="360" w:lineRule="auto"/>
        <w:ind w:right="2" w:firstLine="420" w:firstLineChars="200"/>
        <w:jc w:val="left"/>
        <w:rPr>
          <w:rFonts w:hint="eastAsia" w:ascii="宋体" w:hAnsi="宋体"/>
        </w:rPr>
      </w:pPr>
      <w:r>
        <w:rPr>
          <w:rFonts w:hint="eastAsia" w:ascii="宋体" w:hAnsi="宋体"/>
        </w:rPr>
        <w:t>⑻投标单位负责人为同一人或者存在控股、管理关系的；</w:t>
      </w:r>
    </w:p>
    <w:p w14:paraId="1A7E2E3A">
      <w:pPr>
        <w:tabs>
          <w:tab w:val="left" w:pos="560"/>
        </w:tabs>
        <w:spacing w:line="360" w:lineRule="auto"/>
        <w:ind w:right="2" w:firstLine="420" w:firstLineChars="200"/>
        <w:jc w:val="left"/>
        <w:rPr>
          <w:rFonts w:hint="eastAsia" w:ascii="宋体" w:hAnsi="宋体" w:eastAsia="宋体"/>
          <w:lang w:val="en-US" w:eastAsia="zh-CN"/>
        </w:rPr>
      </w:pPr>
      <w:r>
        <w:rPr>
          <w:rFonts w:hint="eastAsia" w:ascii="宋体" w:hAnsi="宋体"/>
        </w:rPr>
        <w:fldChar w:fldCharType="begin"/>
      </w:r>
      <w:r>
        <w:rPr>
          <w:rFonts w:hint="eastAsia" w:ascii="宋体" w:hAnsi="宋体"/>
        </w:rPr>
        <w:instrText xml:space="preserve"> = 9 \* GB2 \* MERGEFORMAT </w:instrText>
      </w:r>
      <w:r>
        <w:rPr>
          <w:rFonts w:hint="eastAsia" w:ascii="宋体" w:hAnsi="宋体"/>
        </w:rPr>
        <w:fldChar w:fldCharType="separate"/>
      </w:r>
      <w:r>
        <w:t>⑼</w:t>
      </w:r>
      <w:r>
        <w:rPr>
          <w:rFonts w:hint="eastAsia" w:ascii="宋体" w:hAnsi="宋体"/>
        </w:rPr>
        <w:fldChar w:fldCharType="end"/>
      </w:r>
      <w:r>
        <w:rPr>
          <w:rFonts w:hint="eastAsia" w:ascii="宋体" w:hAnsi="宋体"/>
        </w:rPr>
        <w:t>被其他投标人举报、检举，并经查实属实的</w:t>
      </w:r>
      <w:r>
        <w:rPr>
          <w:rFonts w:hint="eastAsia" w:ascii="宋体" w:hAnsi="宋体"/>
          <w:lang w:val="en-US" w:eastAsia="zh-CN"/>
        </w:rPr>
        <w:t>；</w:t>
      </w:r>
    </w:p>
    <w:p w14:paraId="117F3653">
      <w:pPr>
        <w:spacing w:line="360" w:lineRule="auto"/>
        <w:ind w:right="2" w:firstLine="420" w:firstLineChars="200"/>
        <w:jc w:val="left"/>
        <w:rPr>
          <w:rFonts w:hint="eastAsia" w:ascii="宋体" w:hAnsi="Courier New"/>
        </w:rPr>
      </w:pPr>
      <w:r>
        <w:rPr>
          <w:rFonts w:hint="eastAsia" w:ascii="宋体" w:hAnsi="Courier New"/>
        </w:rPr>
        <w:fldChar w:fldCharType="begin"/>
      </w:r>
      <w:r>
        <w:rPr>
          <w:rFonts w:hint="eastAsia" w:ascii="宋体" w:hAnsi="Courier New"/>
        </w:rPr>
        <w:instrText xml:space="preserve"> = 10 \* GB2 \* MERGEFORMAT </w:instrText>
      </w:r>
      <w:r>
        <w:rPr>
          <w:rFonts w:hint="eastAsia" w:ascii="宋体" w:hAnsi="Courier New"/>
        </w:rPr>
        <w:fldChar w:fldCharType="separate"/>
      </w:r>
      <w:r>
        <w:rPr>
          <w:rFonts w:hint="eastAsia" w:ascii="宋体" w:hAnsi="Courier New"/>
        </w:rPr>
        <w:t>⑽</w:t>
      </w:r>
      <w:r>
        <w:rPr>
          <w:rFonts w:hint="eastAsia" w:ascii="宋体" w:hAnsi="Courier New"/>
        </w:rPr>
        <w:fldChar w:fldCharType="end"/>
      </w:r>
      <w:r>
        <w:rPr>
          <w:rFonts w:hint="eastAsia" w:ascii="宋体" w:hAnsi="Courier New"/>
        </w:rPr>
        <w:t>法律、法规规定的其他情况。</w:t>
      </w:r>
    </w:p>
    <w:p w14:paraId="220F1307">
      <w:pPr>
        <w:spacing w:line="360" w:lineRule="auto"/>
        <w:ind w:right="2" w:firstLine="420" w:firstLineChars="200"/>
        <w:jc w:val="left"/>
        <w:rPr>
          <w:rFonts w:hint="default" w:eastAsia="宋体"/>
          <w:lang w:val="en-US" w:eastAsia="zh-CN"/>
        </w:rPr>
      </w:pPr>
      <w:r>
        <w:rPr>
          <w:rFonts w:hint="eastAsia" w:ascii="宋体" w:hAnsi="Courier New"/>
          <w:lang w:val="en-US" w:eastAsia="zh-CN"/>
        </w:rPr>
        <w:t>(11)</w:t>
      </w:r>
      <w:r>
        <w:rPr>
          <w:rFonts w:hint="default" w:ascii="宋体" w:hAnsi="Courier New"/>
        </w:rPr>
        <w:t>不同投标人的投标文件异常一致或者投标报价呈规律性差异的、投标人报价均超过采购预算的</w:t>
      </w:r>
      <w:r>
        <w:rPr>
          <w:rFonts w:hint="eastAsia" w:ascii="宋体" w:hAnsi="Courier New"/>
        </w:rPr>
        <w:t>。</w:t>
      </w:r>
    </w:p>
    <w:p w14:paraId="0A648D2C">
      <w:pPr>
        <w:spacing w:line="360" w:lineRule="auto"/>
        <w:ind w:right="2" w:firstLine="420" w:firstLineChars="200"/>
        <w:rPr>
          <w:rFonts w:hint="eastAsia" w:ascii="宋体" w:hAnsi="Courier New"/>
        </w:rPr>
      </w:pPr>
      <w:r>
        <w:rPr>
          <w:rFonts w:hint="eastAsia" w:ascii="宋体" w:hAnsi="Courier New"/>
        </w:rPr>
        <w:t>2.出现下列情形之一，招标人有权否决所有投标人的投标，并终止招标。</w:t>
      </w:r>
    </w:p>
    <w:p w14:paraId="7867B67B">
      <w:pPr>
        <w:spacing w:line="360" w:lineRule="auto"/>
        <w:ind w:right="2" w:firstLine="420" w:firstLineChars="200"/>
        <w:rPr>
          <w:rFonts w:hint="eastAsia" w:ascii="宋体" w:hAnsi="宋体" w:eastAsia="宋体"/>
          <w:lang w:eastAsia="zh-CN"/>
        </w:rPr>
      </w:pPr>
      <w:r>
        <w:rPr>
          <w:rFonts w:hint="eastAsia" w:ascii="宋体" w:hAnsi="宋体"/>
        </w:rPr>
        <w:t>⑴出现影响采购公正的违法、违规行为的</w:t>
      </w:r>
      <w:r>
        <w:rPr>
          <w:rFonts w:hint="eastAsia" w:ascii="宋体" w:hAnsi="宋体"/>
          <w:lang w:eastAsia="zh-CN"/>
        </w:rPr>
        <w:t>；</w:t>
      </w:r>
    </w:p>
    <w:p w14:paraId="15F57AF9">
      <w:pPr>
        <w:spacing w:line="360" w:lineRule="auto"/>
        <w:ind w:right="2" w:firstLine="420" w:firstLineChars="200"/>
        <w:rPr>
          <w:rFonts w:hint="eastAsia" w:ascii="宋体" w:hAnsi="宋体" w:eastAsia="宋体"/>
          <w:lang w:eastAsia="zh-CN"/>
        </w:rPr>
      </w:pPr>
      <w:r>
        <w:rPr>
          <w:rFonts w:hint="eastAsia" w:ascii="宋体" w:hAnsi="宋体"/>
        </w:rPr>
        <w:t>⑵因重大变故，采购任务取消的</w:t>
      </w:r>
      <w:r>
        <w:rPr>
          <w:rFonts w:hint="eastAsia" w:ascii="宋体" w:hAnsi="宋体"/>
          <w:lang w:eastAsia="zh-CN"/>
        </w:rPr>
        <w:t>；</w:t>
      </w:r>
    </w:p>
    <w:p w14:paraId="201957B1">
      <w:pPr>
        <w:spacing w:line="360" w:lineRule="auto"/>
        <w:ind w:right="2" w:firstLine="420" w:firstLineChars="200"/>
        <w:rPr>
          <w:rFonts w:hint="eastAsia" w:ascii="宋体" w:hAnsi="宋体"/>
          <w:lang w:eastAsia="zh-CN"/>
        </w:rPr>
      </w:pPr>
      <w:r>
        <w:rPr>
          <w:rFonts w:hint="eastAsia" w:ascii="宋体" w:hAnsi="宋体"/>
        </w:rPr>
        <w:t>⑶招标人认为其他应终止招标的情形</w:t>
      </w:r>
      <w:r>
        <w:rPr>
          <w:rFonts w:hint="eastAsia" w:ascii="宋体" w:hAnsi="宋体"/>
          <w:lang w:eastAsia="zh-CN"/>
        </w:rPr>
        <w:t>；</w:t>
      </w:r>
    </w:p>
    <w:p w14:paraId="08E1DCD6">
      <w:pPr>
        <w:spacing w:line="360" w:lineRule="auto"/>
        <w:ind w:right="2" w:firstLine="420" w:firstLineChars="200"/>
        <w:rPr>
          <w:rFonts w:hint="eastAsia" w:ascii="宋体" w:hAnsi="宋体"/>
          <w:lang w:val="en-US" w:eastAsia="zh-CN"/>
        </w:rPr>
      </w:pPr>
      <w:r>
        <w:rPr>
          <w:rFonts w:hint="eastAsia" w:ascii="宋体" w:hAnsi="宋体"/>
        </w:rPr>
        <w:t>⑷</w:t>
      </w:r>
      <w:r>
        <w:rPr>
          <w:rFonts w:hint="eastAsia" w:ascii="宋体" w:hAnsi="宋体"/>
          <w:lang w:val="en-US" w:eastAsia="zh-CN"/>
        </w:rPr>
        <w:t>符合条件的投标人或者对招标文件做实质响应的投标人不足三家的；</w:t>
      </w:r>
    </w:p>
    <w:p w14:paraId="7BD3F14B">
      <w:pPr>
        <w:spacing w:line="360" w:lineRule="auto"/>
        <w:ind w:right="2" w:firstLine="420" w:firstLineChars="200"/>
        <w:rPr>
          <w:rFonts w:hint="default" w:ascii="宋体" w:hAnsi="宋体"/>
          <w:lang w:val="en-US" w:eastAsia="zh-CN"/>
        </w:rPr>
      </w:pPr>
      <w:r>
        <w:rPr>
          <w:rFonts w:hint="eastAsia" w:ascii="宋体" w:hAnsi="宋体"/>
        </w:rPr>
        <w:t>⑸</w:t>
      </w:r>
      <w:r>
        <w:rPr>
          <w:rFonts w:hint="eastAsia" w:ascii="宋体" w:hAnsi="宋体"/>
          <w:lang w:val="en-US" w:eastAsia="zh-CN"/>
        </w:rPr>
        <w:t>评标委员会经评审，认为所有投标都不符合招标文件要求的；</w:t>
      </w:r>
    </w:p>
    <w:p w14:paraId="7220B219">
      <w:pPr>
        <w:spacing w:line="360" w:lineRule="auto"/>
        <w:ind w:right="2" w:firstLine="420" w:firstLineChars="200"/>
        <w:rPr>
          <w:rFonts w:hint="default" w:ascii="宋体" w:hAnsi="宋体"/>
          <w:lang w:val="en-US" w:eastAsia="zh-CN"/>
        </w:rPr>
      </w:pPr>
      <w:r>
        <w:rPr>
          <w:rFonts w:hint="eastAsia" w:ascii="宋体" w:hAnsi="宋体"/>
        </w:rPr>
        <w:t>⑹</w:t>
      </w:r>
      <w:r>
        <w:rPr>
          <w:rFonts w:hint="eastAsia" w:ascii="宋体" w:hAnsi="宋体"/>
          <w:lang w:val="en-US" w:eastAsia="zh-CN"/>
        </w:rPr>
        <w:t>投标人承诺并同意因招标人公司政策变化引起的随时终止项目的情形，并自行承担由此带来的一切损失。</w:t>
      </w:r>
    </w:p>
    <w:p w14:paraId="52B21C84">
      <w:pPr>
        <w:pStyle w:val="7"/>
        <w:spacing w:line="360" w:lineRule="auto"/>
        <w:rPr>
          <w:rFonts w:ascii="黑体" w:eastAsia="黑体"/>
          <w:b/>
          <w:bCs/>
          <w:sz w:val="28"/>
        </w:rPr>
      </w:pPr>
      <w:r>
        <w:rPr>
          <w:rFonts w:hint="eastAsia" w:ascii="黑体" w:eastAsia="黑体"/>
          <w:b/>
          <w:bCs/>
          <w:sz w:val="28"/>
        </w:rPr>
        <w:t>十、中标人瑕疵滞后发现的处理原则</w:t>
      </w:r>
    </w:p>
    <w:p w14:paraId="7D92FE71">
      <w:pPr>
        <w:spacing w:line="360" w:lineRule="auto"/>
        <w:ind w:right="2" w:firstLine="420" w:firstLineChars="200"/>
        <w:rPr>
          <w:rFonts w:hint="eastAsia"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w:t>
      </w:r>
      <w:r>
        <w:rPr>
          <w:rFonts w:hint="eastAsia" w:ascii="宋体" w:hAnsi="Courier New"/>
          <w:lang w:eastAsia="zh-CN"/>
        </w:rPr>
        <w:t>。</w:t>
      </w:r>
      <w:r>
        <w:rPr>
          <w:rFonts w:hint="eastAsia" w:ascii="宋体" w:hAnsi="Courier New"/>
        </w:rPr>
        <w:t>已签订合同的情形，招标人均有权拒绝或取消中标人资格，一旦中标人被拒绝或该中标人此前的评议结果被取消，相关的一切损失均由该中标人承担。</w:t>
      </w:r>
    </w:p>
    <w:p w14:paraId="62014A66">
      <w:pPr>
        <w:spacing w:line="360" w:lineRule="auto"/>
        <w:ind w:right="2" w:firstLine="420" w:firstLineChars="200"/>
        <w:rPr>
          <w:rFonts w:hint="eastAsia" w:ascii="宋体" w:hAnsi="Courier New" w:eastAsia="宋体"/>
          <w:lang w:eastAsia="zh-CN"/>
        </w:rPr>
      </w:pPr>
      <w:r>
        <w:rPr>
          <w:rFonts w:hint="eastAsia" w:ascii="宋体" w:hAnsi="Courier New"/>
        </w:rPr>
        <w:t>本次招标最终解释权归中国重汽集团济南卡车股份有限公司</w:t>
      </w:r>
      <w:r>
        <w:rPr>
          <w:rFonts w:hint="eastAsia" w:ascii="宋体" w:hAnsi="Courier New"/>
          <w:lang w:eastAsia="zh-CN"/>
        </w:rPr>
        <w:t>。</w:t>
      </w:r>
    </w:p>
    <w:p w14:paraId="132C0B87">
      <w:pPr>
        <w:pStyle w:val="7"/>
        <w:spacing w:line="360" w:lineRule="auto"/>
        <w:rPr>
          <w:rFonts w:hint="eastAsia" w:ascii="黑体" w:eastAsia="黑体"/>
          <w:b/>
          <w:bCs/>
          <w:sz w:val="28"/>
        </w:rPr>
      </w:pPr>
      <w:r>
        <w:rPr>
          <w:rFonts w:hint="eastAsia" w:ascii="黑体" w:eastAsia="黑体"/>
          <w:b/>
          <w:bCs/>
          <w:sz w:val="28"/>
        </w:rPr>
        <w:t>十一、技术要求</w:t>
      </w:r>
    </w:p>
    <w:p w14:paraId="29AA87AE">
      <w:pPr>
        <w:pStyle w:val="7"/>
        <w:spacing w:line="360" w:lineRule="auto"/>
        <w:ind w:left="420" w:hanging="420" w:hangingChars="200"/>
        <w:rPr>
          <w:rFonts w:hint="eastAsia"/>
        </w:rPr>
      </w:pPr>
      <w:r>
        <w:rPr>
          <w:rFonts w:hint="eastAsia"/>
        </w:rPr>
        <w:t xml:space="preserve">    见本招标文件“第三章 技术要求”，附后。</w:t>
      </w:r>
    </w:p>
    <w:p w14:paraId="1C1FA109">
      <w:pPr>
        <w:spacing w:line="360" w:lineRule="auto"/>
        <w:jc w:val="center"/>
        <w:outlineLvl w:val="0"/>
        <w:rPr>
          <w:rFonts w:hint="eastAsia" w:ascii="黑体" w:hAnsi="Courier New" w:eastAsia="黑体"/>
          <w:b/>
          <w:bCs/>
          <w:sz w:val="36"/>
          <w:szCs w:val="36"/>
        </w:rPr>
      </w:pPr>
    </w:p>
    <w:p w14:paraId="3242A589">
      <w:pPr>
        <w:spacing w:line="360" w:lineRule="auto"/>
        <w:jc w:val="center"/>
        <w:outlineLvl w:val="0"/>
        <w:rPr>
          <w:rFonts w:hint="eastAsia" w:ascii="黑体" w:hAnsi="Courier New" w:eastAsia="黑体"/>
          <w:b/>
          <w:bCs/>
          <w:sz w:val="36"/>
          <w:szCs w:val="36"/>
        </w:rPr>
      </w:pPr>
    </w:p>
    <w:p w14:paraId="421A3F88">
      <w:pPr>
        <w:rPr>
          <w:rFonts w:hint="eastAsia" w:ascii="黑体" w:hAnsi="Courier New" w:eastAsia="黑体"/>
          <w:b/>
          <w:bCs/>
          <w:sz w:val="36"/>
          <w:szCs w:val="36"/>
        </w:rPr>
      </w:pPr>
      <w:r>
        <w:rPr>
          <w:rFonts w:hint="eastAsia" w:ascii="黑体" w:hAnsi="Courier New" w:eastAsia="黑体"/>
          <w:b/>
          <w:bCs/>
          <w:sz w:val="36"/>
          <w:szCs w:val="36"/>
        </w:rPr>
        <w:br w:type="page"/>
      </w:r>
    </w:p>
    <w:p w14:paraId="1416B78C">
      <w:pPr>
        <w:spacing w:line="360" w:lineRule="auto"/>
        <w:jc w:val="center"/>
        <w:outlineLvl w:val="0"/>
        <w:rPr>
          <w:rFonts w:hint="eastAsia" w:ascii="黑体" w:hAnsi="Courier New" w:eastAsia="黑体"/>
          <w:b/>
          <w:bCs/>
          <w:sz w:val="36"/>
          <w:szCs w:val="36"/>
        </w:rPr>
      </w:pPr>
      <w:bookmarkStart w:id="10" w:name="_Toc10725"/>
      <w:r>
        <w:rPr>
          <w:rFonts w:hint="eastAsia" w:ascii="黑体" w:hAnsi="Courier New" w:eastAsia="黑体"/>
          <w:b/>
          <w:bCs/>
          <w:sz w:val="36"/>
          <w:szCs w:val="36"/>
        </w:rPr>
        <w:t>第二章  投标文件编制</w:t>
      </w:r>
      <w:bookmarkEnd w:id="10"/>
    </w:p>
    <w:p w14:paraId="6CA4258B">
      <w:pPr>
        <w:pStyle w:val="7"/>
        <w:spacing w:line="360" w:lineRule="auto"/>
        <w:rPr>
          <w:rFonts w:hint="eastAsia" w:ascii="黑体" w:hAnsi="黑体" w:eastAsia="黑体"/>
          <w:b/>
          <w:bCs/>
          <w:sz w:val="28"/>
          <w:szCs w:val="28"/>
        </w:rPr>
      </w:pPr>
      <w:r>
        <w:rPr>
          <w:rFonts w:hint="eastAsia" w:ascii="黑体" w:hAnsi="黑体" w:eastAsia="黑体"/>
          <w:b/>
          <w:bCs/>
          <w:sz w:val="28"/>
          <w:szCs w:val="28"/>
        </w:rPr>
        <w:t>一、投标文件签署</w:t>
      </w:r>
    </w:p>
    <w:p w14:paraId="2184261B">
      <w:pPr>
        <w:pStyle w:val="7"/>
        <w:spacing w:line="360" w:lineRule="auto"/>
        <w:ind w:firstLine="420" w:firstLineChars="200"/>
        <w:rPr>
          <w:rFonts w:hint="eastAsia" w:hAnsi="宋体"/>
          <w:szCs w:val="21"/>
        </w:rPr>
      </w:pPr>
      <w:r>
        <w:rPr>
          <w:rFonts w:hint="eastAsia" w:hAnsi="宋体"/>
          <w:szCs w:val="21"/>
        </w:rPr>
        <w:t>1.法定代表人或投标人授权代表必须按招标文件的规定在投标文件（正本）、开标一览表上签字并加盖</w:t>
      </w:r>
      <w:r>
        <w:rPr>
          <w:rFonts w:hint="eastAsia" w:hAnsi="宋体"/>
          <w:b/>
          <w:bCs/>
          <w:szCs w:val="21"/>
        </w:rPr>
        <w:t>投标人单位公章</w:t>
      </w:r>
      <w:r>
        <w:rPr>
          <w:rFonts w:hint="eastAsia" w:hAnsi="宋体"/>
          <w:szCs w:val="21"/>
        </w:rPr>
        <w:t>，不得使用其它形式如带有“专用章”等字样的印章，否则投标将被视为无效。如投标人对投标文件进行了修改，则须由投标人的法定代表人或授权代表在修改的每一页上签字或加盖公章。</w:t>
      </w:r>
    </w:p>
    <w:p w14:paraId="50A3187B">
      <w:pPr>
        <w:pStyle w:val="7"/>
        <w:spacing w:line="360" w:lineRule="auto"/>
        <w:ind w:firstLine="420" w:firstLineChars="200"/>
        <w:rPr>
          <w:rFonts w:hint="eastAsia" w:ascii="宋体" w:eastAsia="宋体" w:cs="Times New Roman"/>
          <w:b/>
          <w:bCs/>
          <w:color w:val="0000FF"/>
          <w:lang w:eastAsia="zh-CN"/>
        </w:rPr>
      </w:pPr>
      <w:r>
        <w:rPr>
          <w:rFonts w:hint="eastAsia" w:hAnsi="宋体"/>
          <w:szCs w:val="21"/>
        </w:rPr>
        <w:t>2.任何行间插字、涂改和增删，必须由投标人的法定代表人或授权代表签字或加盖公章后才有效。</w:t>
      </w:r>
      <w:r>
        <w:rPr>
          <w:rFonts w:hint="eastAsia" w:hAnsi="宋体"/>
          <w:szCs w:val="21"/>
        </w:rPr>
        <w:br w:type="textWrapping"/>
      </w:r>
      <w:r>
        <w:rPr>
          <w:rFonts w:hint="eastAsia" w:hAnsi="宋体"/>
          <w:szCs w:val="21"/>
          <w:lang w:val="en-US" w:eastAsia="zh-CN"/>
        </w:rPr>
        <w:t xml:space="preserve">  </w:t>
      </w:r>
      <w:r>
        <w:rPr>
          <w:rFonts w:hint="eastAsia" w:hAnsi="宋体"/>
          <w:b/>
          <w:bCs/>
          <w:szCs w:val="21"/>
          <w:lang w:val="en-US" w:eastAsia="zh-CN"/>
        </w:rPr>
        <w:t xml:space="preserve"> </w:t>
      </w:r>
      <w:r>
        <w:rPr>
          <w:rFonts w:hint="eastAsia" w:hAnsi="宋体"/>
          <w:b/>
          <w:bCs/>
          <w:color w:val="0000FF"/>
          <w:szCs w:val="21"/>
          <w:lang w:val="en-US" w:eastAsia="zh-CN"/>
        </w:rPr>
        <w:t xml:space="preserve"> </w:t>
      </w:r>
      <w:r>
        <w:rPr>
          <w:rFonts w:hint="eastAsia" w:ascii="宋体" w:hAnsi="宋体" w:eastAsia="宋体" w:cs="Times New Roman"/>
          <w:b/>
          <w:bCs/>
          <w:color w:val="0000FF"/>
          <w:szCs w:val="21"/>
          <w:lang w:val="en-US" w:eastAsia="zh-CN"/>
        </w:rPr>
        <w:t>3、重汽E采通上传的投标文件应为</w:t>
      </w:r>
      <w:r>
        <w:rPr>
          <w:rFonts w:hint="eastAsia" w:ascii="宋体" w:hAnsi="宋体" w:eastAsia="宋体" w:cs="Times New Roman"/>
          <w:b/>
          <w:bCs/>
          <w:color w:val="0000FF"/>
          <w:szCs w:val="21"/>
        </w:rPr>
        <w:t>扫描</w:t>
      </w:r>
      <w:r>
        <w:rPr>
          <w:rFonts w:hint="eastAsia" w:ascii="宋体" w:hAnsi="宋体" w:eastAsia="宋体" w:cs="Times New Roman"/>
          <w:b/>
          <w:bCs/>
          <w:color w:val="0000FF"/>
          <w:szCs w:val="21"/>
          <w:lang w:val="en-US" w:eastAsia="zh-CN"/>
        </w:rPr>
        <w:t>的</w:t>
      </w:r>
      <w:r>
        <w:rPr>
          <w:rFonts w:hint="eastAsia" w:ascii="宋体" w:hAnsi="宋体" w:eastAsia="宋体" w:cs="Times New Roman"/>
          <w:b/>
          <w:bCs/>
          <w:color w:val="0000FF"/>
          <w:szCs w:val="21"/>
        </w:rPr>
        <w:t>PDF版</w:t>
      </w:r>
      <w:r>
        <w:rPr>
          <w:rFonts w:hint="eastAsia" w:ascii="宋体" w:hAnsi="宋体" w:eastAsia="宋体" w:cs="Times New Roman"/>
          <w:b/>
          <w:bCs/>
          <w:color w:val="0000FF"/>
          <w:szCs w:val="21"/>
          <w:lang w:val="en-US" w:eastAsia="zh-CN"/>
        </w:rPr>
        <w:t>并</w:t>
      </w:r>
      <w:r>
        <w:rPr>
          <w:rFonts w:hint="eastAsia" w:ascii="宋体" w:hAnsi="宋体" w:eastAsia="宋体" w:cs="Times New Roman"/>
          <w:b/>
          <w:bCs/>
          <w:color w:val="0000FF"/>
          <w:szCs w:val="21"/>
        </w:rPr>
        <w:t>加盖公司红章</w:t>
      </w:r>
      <w:r>
        <w:rPr>
          <w:rFonts w:hint="eastAsia" w:ascii="宋体" w:hAnsi="宋体" w:eastAsia="宋体" w:cs="Times New Roman"/>
          <w:b/>
          <w:bCs/>
          <w:color w:val="0000FF"/>
          <w:szCs w:val="21"/>
          <w:lang w:eastAsia="zh-CN"/>
        </w:rPr>
        <w:t>。</w:t>
      </w:r>
    </w:p>
    <w:p w14:paraId="25667B96">
      <w:pPr>
        <w:pStyle w:val="7"/>
        <w:spacing w:line="360" w:lineRule="auto"/>
        <w:rPr>
          <w:rFonts w:ascii="黑体" w:hAnsi="黑体" w:eastAsia="黑体"/>
          <w:b/>
          <w:bCs/>
          <w:sz w:val="28"/>
          <w:szCs w:val="28"/>
        </w:rPr>
      </w:pPr>
      <w:r>
        <w:rPr>
          <w:rFonts w:hint="eastAsia" w:ascii="黑体" w:hAnsi="黑体" w:eastAsia="黑体"/>
          <w:b/>
          <w:bCs/>
          <w:sz w:val="28"/>
          <w:szCs w:val="28"/>
        </w:rPr>
        <w:t>二、投标文件的编制</w:t>
      </w:r>
    </w:p>
    <w:p w14:paraId="05042AAF">
      <w:pPr>
        <w:spacing w:line="336" w:lineRule="auto"/>
        <w:ind w:firstLine="461" w:firstLineChars="185"/>
        <w:rPr>
          <w:rFonts w:ascii="宋体" w:hAnsi="宋体"/>
          <w:b/>
          <w:spacing w:val="4"/>
          <w:sz w:val="24"/>
        </w:rPr>
      </w:pPr>
      <w:r>
        <w:rPr>
          <w:rFonts w:hint="eastAsia" w:ascii="宋体" w:hAnsi="宋体"/>
          <w:b/>
          <w:spacing w:val="4"/>
          <w:sz w:val="24"/>
        </w:rPr>
        <w:t>1. 投标的语言及计量单位</w:t>
      </w:r>
    </w:p>
    <w:p w14:paraId="12DFF7F8">
      <w:pPr>
        <w:spacing w:line="336" w:lineRule="auto"/>
        <w:ind w:firstLine="403" w:firstLineChars="185"/>
        <w:rPr>
          <w:rFonts w:ascii="宋体" w:hAnsi="宋体"/>
          <w:spacing w:val="4"/>
          <w:szCs w:val="21"/>
        </w:rPr>
      </w:pPr>
      <w:r>
        <w:rPr>
          <w:rFonts w:hint="eastAsia" w:ascii="宋体" w:hAnsi="宋体"/>
          <w:spacing w:val="4"/>
          <w:szCs w:val="21"/>
        </w:rPr>
        <w:t>1.l  由投标人编写的投标文件、投标交换的文件和往来信件应以中文书写。</w:t>
      </w:r>
    </w:p>
    <w:p w14:paraId="3D5EEEDD">
      <w:pPr>
        <w:spacing w:line="336" w:lineRule="auto"/>
        <w:ind w:firstLine="403" w:firstLineChars="185"/>
        <w:rPr>
          <w:rFonts w:ascii="宋体" w:hAnsi="宋体"/>
          <w:spacing w:val="4"/>
          <w:szCs w:val="21"/>
        </w:rPr>
      </w:pPr>
      <w:r>
        <w:rPr>
          <w:rFonts w:hint="eastAsia" w:ascii="宋体" w:hAnsi="宋体"/>
          <w:spacing w:val="4"/>
          <w:szCs w:val="21"/>
        </w:rPr>
        <w:t>1.2  投标文件中所使用的计量单位，除招标文件中有特殊要求外，应采用中华人民共和国国家法定计量单位。</w:t>
      </w:r>
    </w:p>
    <w:p w14:paraId="43416CCA">
      <w:pPr>
        <w:spacing w:line="336" w:lineRule="auto"/>
        <w:ind w:firstLine="461" w:firstLineChars="185"/>
        <w:rPr>
          <w:rFonts w:ascii="宋体" w:hAnsi="宋体"/>
          <w:b/>
          <w:spacing w:val="4"/>
          <w:sz w:val="24"/>
        </w:rPr>
      </w:pPr>
      <w:r>
        <w:rPr>
          <w:rFonts w:hint="eastAsia" w:ascii="宋体" w:hAnsi="宋体"/>
          <w:b/>
          <w:spacing w:val="4"/>
          <w:sz w:val="24"/>
        </w:rPr>
        <w:t>2. 投标文件构成</w:t>
      </w:r>
    </w:p>
    <w:p w14:paraId="5DEC8F3E">
      <w:pPr>
        <w:spacing w:line="336" w:lineRule="auto"/>
        <w:ind w:firstLine="403" w:firstLineChars="185"/>
        <w:rPr>
          <w:rFonts w:hint="eastAsia" w:ascii="宋体" w:hAnsi="宋体" w:cs="宋体"/>
          <w:spacing w:val="4"/>
          <w:szCs w:val="21"/>
        </w:rPr>
      </w:pPr>
      <w:r>
        <w:rPr>
          <w:rFonts w:hint="eastAsia" w:ascii="宋体" w:hAnsi="宋体" w:cs="宋体"/>
          <w:spacing w:val="4"/>
          <w:szCs w:val="21"/>
        </w:rPr>
        <w:t>投标人的投标文件由资格证明文件、投标文件商务部分和投标文件技术部分共三部分构成：</w:t>
      </w:r>
    </w:p>
    <w:p w14:paraId="3C82E2F5">
      <w:pPr>
        <w:spacing w:line="336" w:lineRule="auto"/>
        <w:ind w:firstLine="436" w:firstLineChars="200"/>
        <w:rPr>
          <w:rFonts w:hint="eastAsia" w:ascii="宋体" w:hAnsi="宋体" w:cs="宋体"/>
          <w:spacing w:val="4"/>
          <w:szCs w:val="21"/>
        </w:rPr>
      </w:pPr>
      <w:r>
        <w:rPr>
          <w:rFonts w:hint="eastAsia" w:ascii="宋体" w:hAnsi="宋体" w:cs="宋体"/>
          <w:spacing w:val="4"/>
          <w:szCs w:val="21"/>
        </w:rPr>
        <w:t>（1）资格证明文件包括：</w:t>
      </w:r>
    </w:p>
    <w:p w14:paraId="4806C2C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1、法定代表人身份证明</w:t>
      </w:r>
    </w:p>
    <w:p w14:paraId="5AD5CCF3">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2、法人授权委托书及身份证复印件；</w:t>
      </w:r>
    </w:p>
    <w:p w14:paraId="522A026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3、营业执照副本复印件；</w:t>
      </w:r>
    </w:p>
    <w:p w14:paraId="04B212D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4、《投标保证金缴纳凭证》；</w:t>
      </w:r>
    </w:p>
    <w:p w14:paraId="3678C39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5、证明投标人满足投标资料表中列出的业绩要求的文件：近三年（</w:t>
      </w:r>
      <w:r>
        <w:rPr>
          <w:rFonts w:hint="eastAsia" w:ascii="宋体" w:hAnsi="Courier New" w:cs="Times New Roman"/>
          <w:kern w:val="2"/>
          <w:sz w:val="21"/>
          <w:highlight w:val="none"/>
          <w:lang w:val="en-US" w:eastAsia="zh-CN" w:bidi="ar-SA"/>
        </w:rPr>
        <w:t>2023</w:t>
      </w:r>
      <w:r>
        <w:rPr>
          <w:rFonts w:hint="eastAsia" w:ascii="宋体" w:hAnsi="Courier New" w:eastAsia="宋体" w:cs="Times New Roman"/>
          <w:kern w:val="2"/>
          <w:sz w:val="21"/>
          <w:highlight w:val="none"/>
          <w:lang w:val="en-US" w:eastAsia="zh-CN" w:bidi="ar-SA"/>
        </w:rPr>
        <w:t>年1月1日至今）类似项目业绩及合同复印件（加盖公章，须有客户联系方式及联系人以供招标人核实确认）。</w:t>
      </w:r>
    </w:p>
    <w:p w14:paraId="3D0FB97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6、近三年财务报表（资产负债表、损益表、现金流量表）等；企业最近半年完税证明、信用证明材料（中国人民银行信用代码证+征信报告）；年度纳税信用评价信息（可从电子税务局查询截图，需加盖公章）；企业对外担保说明（写明贵单位对外有无对外担保和质押业务，需加盖公章）。</w:t>
      </w:r>
    </w:p>
    <w:p w14:paraId="4F7052F7">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7、招标文件中要求的其它资格证明文件。</w:t>
      </w:r>
    </w:p>
    <w:p w14:paraId="67D6EA94">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8、投标人应具有相应生产证明</w:t>
      </w:r>
      <w:r>
        <w:rPr>
          <w:rFonts w:hint="eastAsia" w:ascii="宋体" w:hAnsi="Courier New" w:cs="Times New Roman"/>
          <w:kern w:val="2"/>
          <w:sz w:val="21"/>
          <w:highlight w:val="none"/>
          <w:lang w:val="en-US" w:eastAsia="zh-CN" w:bidi="ar-SA"/>
        </w:rPr>
        <w:t>（设备类提供）</w:t>
      </w:r>
      <w:r>
        <w:rPr>
          <w:rFonts w:hint="eastAsia" w:ascii="宋体" w:hAnsi="Courier New" w:eastAsia="宋体" w:cs="Times New Roman"/>
          <w:kern w:val="2"/>
          <w:sz w:val="21"/>
          <w:highlight w:val="none"/>
          <w:lang w:val="en-US" w:eastAsia="zh-CN" w:bidi="ar-SA"/>
        </w:rPr>
        <w:t>。</w:t>
      </w:r>
    </w:p>
    <w:p w14:paraId="0C9C47E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9、近三个月依法缴纳税收和社会保障资金的证明材料，近三年内在经营活动中没有违法违纪行为的声明；</w:t>
      </w:r>
    </w:p>
    <w:p w14:paraId="7615419E">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10、投标单位在国家企业信用信息公示系统中无与本投标项目有关的行政处罚、经营异常或失信信息或上述信息已被移除的声明。</w:t>
      </w:r>
    </w:p>
    <w:p w14:paraId="60716535">
      <w:pPr>
        <w:spacing w:line="336" w:lineRule="auto"/>
        <w:ind w:firstLine="403" w:firstLineChars="185"/>
        <w:rPr>
          <w:rFonts w:hint="eastAsia" w:ascii="宋体" w:hAnsi="宋体" w:cs="宋体"/>
          <w:spacing w:val="4"/>
          <w:szCs w:val="21"/>
          <w:highlight w:val="none"/>
          <w:lang w:eastAsia="zh-CN"/>
        </w:rPr>
      </w:pPr>
      <w:r>
        <w:rPr>
          <w:rFonts w:hint="eastAsia" w:ascii="宋体" w:hAnsi="宋体" w:cs="宋体"/>
          <w:spacing w:val="4"/>
          <w:szCs w:val="21"/>
          <w:highlight w:val="none"/>
        </w:rPr>
        <w:t>（2）</w:t>
      </w:r>
      <w:r>
        <w:rPr>
          <w:rFonts w:hint="eastAsia" w:ascii="宋体" w:hAnsi="宋体" w:cs="宋体"/>
          <w:spacing w:val="4"/>
          <w:szCs w:val="21"/>
          <w:highlight w:val="none"/>
          <w:lang w:val="en-US" w:eastAsia="zh-CN"/>
        </w:rPr>
        <w:t>技术</w:t>
      </w:r>
      <w:r>
        <w:rPr>
          <w:rFonts w:hint="eastAsia" w:ascii="宋体" w:hAnsi="宋体" w:cs="宋体"/>
          <w:spacing w:val="4"/>
          <w:szCs w:val="21"/>
          <w:highlight w:val="none"/>
        </w:rPr>
        <w:t>部分</w:t>
      </w:r>
      <w:r>
        <w:rPr>
          <w:rFonts w:hint="eastAsia" w:ascii="宋体" w:hAnsi="宋体" w:cs="宋体"/>
          <w:spacing w:val="4"/>
          <w:szCs w:val="21"/>
          <w:highlight w:val="none"/>
          <w:lang w:eastAsia="zh-CN"/>
        </w:rPr>
        <w:t>：</w:t>
      </w:r>
    </w:p>
    <w:p w14:paraId="0B505C66">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1、技术规格偏离表，必须先进行两列要求一一对照，不允许直接写无偏离；</w:t>
      </w:r>
    </w:p>
    <w:p w14:paraId="3959318C">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2、投标人需提交的其它技术资料；</w:t>
      </w:r>
    </w:p>
    <w:p w14:paraId="7BD3E5B0">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default" w:ascii="宋体" w:hAnsi="Courier New" w:eastAsia="宋体" w:cs="Times New Roman"/>
          <w:kern w:val="2"/>
          <w:sz w:val="21"/>
          <w:highlight w:val="none"/>
          <w:lang w:val="en-US" w:eastAsia="zh-CN" w:bidi="ar-SA"/>
        </w:rPr>
      </w:pPr>
      <w:r>
        <w:rPr>
          <w:rFonts w:hint="eastAsia" w:ascii="宋体" w:hAnsi="Courier New" w:eastAsia="宋体" w:cs="Times New Roman"/>
          <w:kern w:val="2"/>
          <w:sz w:val="21"/>
          <w:highlight w:val="none"/>
          <w:lang w:val="en-US" w:eastAsia="zh-CN" w:bidi="ar-SA"/>
        </w:rPr>
        <w:t>3、技术规范及服务要求：详见技术要求（第三章）。</w:t>
      </w:r>
    </w:p>
    <w:p w14:paraId="6DA8D1A3">
      <w:pPr>
        <w:spacing w:line="336" w:lineRule="auto"/>
        <w:ind w:firstLine="403" w:firstLineChars="185"/>
        <w:rPr>
          <w:rFonts w:hint="eastAsia" w:ascii="宋体" w:hAnsi="宋体" w:cs="宋体"/>
          <w:spacing w:val="4"/>
          <w:szCs w:val="21"/>
          <w:highlight w:val="none"/>
        </w:rPr>
      </w:pPr>
      <w:r>
        <w:rPr>
          <w:rFonts w:hint="eastAsia" w:ascii="宋体" w:hAnsi="宋体" w:cs="宋体"/>
          <w:spacing w:val="4"/>
          <w:szCs w:val="21"/>
          <w:highlight w:val="none"/>
        </w:rPr>
        <w:t>（</w:t>
      </w:r>
      <w:r>
        <w:rPr>
          <w:rFonts w:hint="eastAsia" w:ascii="宋体" w:hAnsi="宋体" w:cs="宋体"/>
          <w:spacing w:val="4"/>
          <w:szCs w:val="21"/>
          <w:highlight w:val="none"/>
          <w:lang w:val="en-US" w:eastAsia="zh-CN"/>
        </w:rPr>
        <w:t>3</w:t>
      </w:r>
      <w:r>
        <w:rPr>
          <w:rFonts w:hint="eastAsia" w:ascii="宋体" w:hAnsi="宋体" w:cs="宋体"/>
          <w:spacing w:val="4"/>
          <w:szCs w:val="21"/>
          <w:highlight w:val="none"/>
        </w:rPr>
        <w:t>）商务部分：</w:t>
      </w:r>
    </w:p>
    <w:p w14:paraId="3FA3C255">
      <w:pPr>
        <w:pStyle w:val="7"/>
        <w:kinsoku w:val="0"/>
        <w:overflowPunct w:val="0"/>
        <w:autoSpaceDE w:val="0"/>
        <w:autoSpaceDN w:val="0"/>
        <w:adjustRightInd w:val="0"/>
        <w:spacing w:line="360" w:lineRule="auto"/>
        <w:ind w:left="210" w:leftChars="100" w:firstLine="420" w:firstLineChars="200"/>
        <w:rPr>
          <w:rFonts w:hint="eastAsia" w:hAnsi="宋体" w:eastAsia="宋体" w:cs="宋体"/>
          <w:spacing w:val="4"/>
          <w:szCs w:val="21"/>
          <w:highlight w:val="none"/>
          <w:lang w:eastAsia="zh-CN"/>
        </w:rPr>
      </w:pPr>
      <w:r>
        <w:rPr>
          <w:rFonts w:hint="eastAsia" w:hAnsi="宋体" w:cs="宋体"/>
          <w:bCs/>
          <w:szCs w:val="21"/>
          <w:highlight w:val="none"/>
        </w:rPr>
        <w:t>(</w:t>
      </w:r>
      <w:r>
        <w:rPr>
          <w:rFonts w:hint="eastAsia" w:hAnsi="宋体" w:cs="宋体"/>
          <w:bCs/>
          <w:szCs w:val="21"/>
          <w:highlight w:val="none"/>
          <w:lang w:val="en-US" w:eastAsia="zh-CN"/>
        </w:rPr>
        <w:t>一</w:t>
      </w:r>
      <w:r>
        <w:rPr>
          <w:rFonts w:hint="eastAsia" w:hAnsi="宋体" w:cs="宋体"/>
          <w:bCs/>
          <w:szCs w:val="21"/>
          <w:highlight w:val="none"/>
        </w:rPr>
        <w:t>)投标函</w:t>
      </w:r>
      <w:r>
        <w:rPr>
          <w:rFonts w:hint="eastAsia" w:hAnsi="宋体" w:cs="宋体"/>
          <w:bCs/>
          <w:szCs w:val="21"/>
          <w:highlight w:val="none"/>
          <w:lang w:eastAsia="zh-CN"/>
        </w:rPr>
        <w:t>；</w:t>
      </w:r>
    </w:p>
    <w:p w14:paraId="4F1E8BC9">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rPr>
        <w:t>(</w:t>
      </w:r>
      <w:r>
        <w:rPr>
          <w:rFonts w:hint="eastAsia" w:ascii="宋体" w:hAnsi="宋体" w:cs="宋体"/>
          <w:bCs/>
          <w:szCs w:val="21"/>
          <w:highlight w:val="none"/>
          <w:lang w:val="en-US" w:eastAsia="zh-CN"/>
        </w:rPr>
        <w:t>二</w:t>
      </w:r>
      <w:r>
        <w:rPr>
          <w:rFonts w:hint="eastAsia" w:ascii="宋体" w:hAnsi="宋体" w:cs="宋体"/>
          <w:bCs/>
          <w:szCs w:val="21"/>
          <w:highlight w:val="none"/>
        </w:rPr>
        <w:t>)</w:t>
      </w:r>
      <w:r>
        <w:rPr>
          <w:rFonts w:hint="eastAsia" w:ascii="宋体" w:hAnsi="宋体" w:cs="宋体"/>
          <w:spacing w:val="4"/>
          <w:szCs w:val="21"/>
          <w:highlight w:val="none"/>
        </w:rPr>
        <w:t>开标一览表；</w:t>
      </w:r>
    </w:p>
    <w:p w14:paraId="3BF91DB6">
      <w:pPr>
        <w:spacing w:line="336" w:lineRule="auto"/>
        <w:ind w:firstLine="596" w:firstLineChars="284"/>
        <w:rPr>
          <w:rFonts w:hint="default" w:ascii="宋体" w:hAnsi="宋体" w:eastAsia="宋体" w:cs="宋体"/>
          <w:bCs/>
          <w:szCs w:val="21"/>
          <w:highlight w:val="none"/>
          <w:lang w:val="en-US" w:eastAsia="zh-CN"/>
        </w:rPr>
      </w:pPr>
      <w:r>
        <w:rPr>
          <w:rFonts w:hint="eastAsia" w:ascii="宋体" w:hAnsi="宋体" w:cs="宋体"/>
          <w:bCs/>
          <w:szCs w:val="21"/>
          <w:highlight w:val="none"/>
        </w:rPr>
        <w:t>(</w:t>
      </w:r>
      <w:r>
        <w:rPr>
          <w:rFonts w:hint="eastAsia" w:ascii="宋体" w:hAnsi="宋体" w:cs="宋体"/>
          <w:bCs/>
          <w:szCs w:val="21"/>
          <w:highlight w:val="none"/>
          <w:lang w:val="en-US" w:eastAsia="zh-CN"/>
        </w:rPr>
        <w:t>三</w:t>
      </w:r>
      <w:r>
        <w:rPr>
          <w:rFonts w:hint="eastAsia" w:ascii="宋体" w:hAnsi="宋体" w:cs="宋体"/>
          <w:bCs/>
          <w:szCs w:val="21"/>
          <w:highlight w:val="none"/>
        </w:rPr>
        <w:t>)投标</w:t>
      </w:r>
      <w:r>
        <w:rPr>
          <w:rFonts w:hint="eastAsia" w:ascii="宋体" w:hAnsi="宋体" w:cs="宋体"/>
          <w:bCs/>
          <w:szCs w:val="21"/>
          <w:highlight w:val="none"/>
          <w:lang w:val="en-US" w:eastAsia="zh-CN"/>
        </w:rPr>
        <w:t>报价明细表；</w:t>
      </w:r>
    </w:p>
    <w:p w14:paraId="0AF7A3A4">
      <w:pPr>
        <w:spacing w:line="336" w:lineRule="auto"/>
        <w:ind w:firstLine="596" w:firstLineChars="284"/>
        <w:rPr>
          <w:rFonts w:hint="eastAsia" w:ascii="宋体" w:hAnsi="宋体" w:cs="宋体"/>
          <w:spacing w:val="4"/>
          <w:szCs w:val="21"/>
          <w:highlight w:val="none"/>
        </w:rPr>
      </w:pPr>
      <w:r>
        <w:rPr>
          <w:rFonts w:hint="eastAsia" w:ascii="宋体" w:hAnsi="宋体" w:cs="宋体"/>
          <w:bCs/>
          <w:szCs w:val="21"/>
          <w:highlight w:val="none"/>
          <w:lang w:val="en-US" w:eastAsia="zh-CN"/>
        </w:rPr>
        <w:t>(四</w:t>
      </w:r>
      <w:r>
        <w:rPr>
          <w:rFonts w:hint="eastAsia" w:ascii="宋体" w:hAnsi="宋体" w:cs="宋体"/>
          <w:bCs/>
          <w:szCs w:val="21"/>
          <w:highlight w:val="none"/>
        </w:rPr>
        <w:t>)</w:t>
      </w:r>
      <w:r>
        <w:rPr>
          <w:rFonts w:hint="eastAsia" w:ascii="宋体" w:hAnsi="宋体" w:cs="宋体"/>
          <w:spacing w:val="4"/>
          <w:szCs w:val="21"/>
          <w:highlight w:val="none"/>
        </w:rPr>
        <w:t>商务条款偏离表；</w:t>
      </w:r>
    </w:p>
    <w:p w14:paraId="249CB4FF">
      <w:pPr>
        <w:spacing w:line="336" w:lineRule="auto"/>
        <w:ind w:firstLine="596" w:firstLineChars="284"/>
        <w:rPr>
          <w:rFonts w:hint="eastAsia" w:ascii="Times New Roman" w:hAnsi="宋体" w:eastAsia="宋体" w:cs="宋体"/>
          <w:bCs/>
          <w:szCs w:val="21"/>
          <w:highlight w:val="none"/>
          <w:lang w:eastAsia="zh-CN"/>
        </w:rPr>
      </w:pPr>
      <w:r>
        <w:rPr>
          <w:rFonts w:hint="eastAsia" w:ascii="Times New Roman" w:hAnsi="宋体" w:eastAsia="宋体" w:cs="宋体"/>
          <w:bCs/>
          <w:szCs w:val="21"/>
          <w:highlight w:val="none"/>
          <w:lang w:val="en-US" w:eastAsia="zh-CN"/>
        </w:rPr>
        <w:t>(五</w:t>
      </w:r>
      <w:r>
        <w:rPr>
          <w:rFonts w:hint="eastAsia" w:ascii="Times New Roman" w:hAnsi="宋体" w:eastAsia="宋体" w:cs="宋体"/>
          <w:bCs/>
          <w:szCs w:val="21"/>
          <w:highlight w:val="none"/>
        </w:rPr>
        <w:t>)投标人基本情况及资产情况汇总表</w:t>
      </w:r>
      <w:r>
        <w:rPr>
          <w:rFonts w:hint="eastAsia" w:hAnsi="宋体" w:cs="宋体"/>
          <w:bCs/>
          <w:szCs w:val="21"/>
          <w:highlight w:val="none"/>
          <w:lang w:eastAsia="zh-CN"/>
        </w:rPr>
        <w:t>；</w:t>
      </w:r>
    </w:p>
    <w:p w14:paraId="13431ACB">
      <w:pPr>
        <w:spacing w:line="336" w:lineRule="auto"/>
        <w:ind w:firstLine="596" w:firstLineChars="284"/>
        <w:rPr>
          <w:rFonts w:hint="eastAsia" w:ascii="Times New Roman" w:hAnsi="宋体" w:eastAsia="宋体" w:cs="宋体"/>
          <w:bCs/>
          <w:szCs w:val="21"/>
          <w:highlight w:val="none"/>
          <w:lang w:val="en-US" w:eastAsia="zh-CN"/>
        </w:rPr>
      </w:pPr>
      <w:r>
        <w:rPr>
          <w:rFonts w:hint="eastAsia" w:ascii="Times New Roman" w:hAnsi="宋体" w:eastAsia="宋体" w:cs="宋体"/>
          <w:bCs/>
          <w:szCs w:val="21"/>
          <w:highlight w:val="none"/>
          <w:lang w:val="en-US" w:eastAsia="zh-CN"/>
        </w:rPr>
        <w:t>(六</w:t>
      </w:r>
      <w:r>
        <w:rPr>
          <w:rFonts w:hint="eastAsia" w:ascii="Times New Roman" w:hAnsi="宋体" w:eastAsia="宋体" w:cs="宋体"/>
          <w:bCs/>
          <w:szCs w:val="21"/>
          <w:highlight w:val="none"/>
        </w:rPr>
        <w:t>)</w:t>
      </w:r>
      <w:r>
        <w:rPr>
          <w:rFonts w:hint="eastAsia" w:ascii="Times New Roman" w:hAnsi="宋体" w:eastAsia="宋体" w:cs="宋体"/>
          <w:bCs/>
          <w:szCs w:val="21"/>
          <w:highlight w:val="none"/>
          <w:lang w:val="en-US" w:eastAsia="zh-CN"/>
        </w:rPr>
        <w:t>业绩表；</w:t>
      </w:r>
    </w:p>
    <w:p w14:paraId="3B844C2F">
      <w:pPr>
        <w:spacing w:line="336" w:lineRule="auto"/>
        <w:ind w:firstLine="596" w:firstLineChars="284"/>
        <w:rPr>
          <w:rFonts w:hint="default" w:ascii="Times New Roman" w:hAnsi="宋体" w:eastAsia="宋体" w:cs="宋体"/>
          <w:bCs/>
          <w:szCs w:val="21"/>
          <w:highlight w:val="none"/>
          <w:lang w:val="en-US" w:eastAsia="zh-CN"/>
        </w:rPr>
      </w:pPr>
      <w:r>
        <w:rPr>
          <w:rFonts w:hint="eastAsia" w:ascii="Times New Roman" w:hAnsi="宋体" w:eastAsia="宋体" w:cs="宋体"/>
          <w:bCs/>
          <w:szCs w:val="21"/>
          <w:highlight w:val="none"/>
        </w:rPr>
        <w:t>(</w:t>
      </w:r>
      <w:r>
        <w:rPr>
          <w:rFonts w:hint="eastAsia" w:ascii="Times New Roman" w:hAnsi="宋体" w:eastAsia="宋体" w:cs="宋体"/>
          <w:bCs/>
          <w:szCs w:val="21"/>
          <w:highlight w:val="none"/>
          <w:lang w:val="en-US" w:eastAsia="zh-CN"/>
        </w:rPr>
        <w:t>七</w:t>
      </w:r>
      <w:r>
        <w:rPr>
          <w:rFonts w:hint="eastAsia" w:ascii="Times New Roman" w:hAnsi="宋体" w:eastAsia="宋体" w:cs="宋体"/>
          <w:bCs/>
          <w:szCs w:val="21"/>
          <w:highlight w:val="none"/>
        </w:rPr>
        <w:t>)</w:t>
      </w:r>
      <w:r>
        <w:rPr>
          <w:rFonts w:hint="eastAsia" w:ascii="Times New Roman" w:hAnsi="宋体" w:eastAsia="宋体" w:cs="宋体"/>
          <w:bCs/>
          <w:szCs w:val="21"/>
          <w:highlight w:val="none"/>
          <w:lang w:val="en-US" w:eastAsia="zh-CN"/>
        </w:rPr>
        <w:t>投标人承诺</w:t>
      </w:r>
      <w:r>
        <w:rPr>
          <w:rFonts w:hint="eastAsia" w:hAnsi="宋体" w:cs="宋体"/>
          <w:bCs/>
          <w:szCs w:val="21"/>
          <w:highlight w:val="none"/>
          <w:lang w:val="en-US" w:eastAsia="zh-CN"/>
        </w:rPr>
        <w:t>。</w:t>
      </w:r>
    </w:p>
    <w:p w14:paraId="55FEEDCD">
      <w:pPr>
        <w:spacing w:line="336" w:lineRule="auto"/>
        <w:ind w:firstLine="405" w:firstLineChars="185"/>
        <w:rPr>
          <w:rFonts w:hint="eastAsia" w:ascii="宋体" w:hAnsi="宋体" w:cs="宋体"/>
          <w:b/>
          <w:bCs/>
          <w:spacing w:val="4"/>
          <w:szCs w:val="21"/>
          <w:highlight w:val="none"/>
        </w:rPr>
      </w:pPr>
      <w:r>
        <w:rPr>
          <w:rFonts w:hint="eastAsia" w:ascii="宋体" w:hAnsi="宋体" w:cs="宋体"/>
          <w:b/>
          <w:bCs/>
          <w:spacing w:val="4"/>
          <w:szCs w:val="21"/>
          <w:highlight w:val="none"/>
        </w:rPr>
        <w:t>注：招标文件给定格式的按给定的格式填写，未给定格式的，由投标人自行编制，但需包含以上内容。</w:t>
      </w:r>
    </w:p>
    <w:p w14:paraId="4A02DB05">
      <w:pPr>
        <w:spacing w:line="336" w:lineRule="auto"/>
        <w:ind w:firstLine="392" w:firstLineChars="186"/>
        <w:rPr>
          <w:rFonts w:hint="eastAsia" w:eastAsia="黑体"/>
          <w:b/>
          <w:bCs/>
          <w:szCs w:val="21"/>
        </w:rPr>
      </w:pPr>
    </w:p>
    <w:p w14:paraId="7DCBDC71">
      <w:pPr>
        <w:rPr>
          <w:rFonts w:hint="eastAsia" w:eastAsia="黑体"/>
          <w:b/>
          <w:bCs/>
          <w:sz w:val="28"/>
        </w:rPr>
      </w:pPr>
    </w:p>
    <w:p w14:paraId="7555756E">
      <w:pPr>
        <w:rPr>
          <w:rFonts w:hint="eastAsia" w:eastAsia="黑体"/>
          <w:b/>
          <w:bCs/>
          <w:sz w:val="28"/>
        </w:rPr>
      </w:pPr>
    </w:p>
    <w:p w14:paraId="63D6E7F0">
      <w:pPr>
        <w:rPr>
          <w:rFonts w:hint="eastAsia" w:eastAsia="黑体"/>
          <w:b/>
          <w:bCs/>
          <w:sz w:val="28"/>
        </w:rPr>
      </w:pPr>
    </w:p>
    <w:p w14:paraId="6B30E8EC">
      <w:pPr>
        <w:pStyle w:val="7"/>
        <w:numPr>
          <w:ilvl w:val="0"/>
          <w:numId w:val="8"/>
        </w:numPr>
        <w:spacing w:line="360" w:lineRule="auto"/>
        <w:jc w:val="center"/>
        <w:outlineLvl w:val="0"/>
        <w:rPr>
          <w:rFonts w:hint="eastAsia" w:ascii="黑体" w:eastAsia="黑体"/>
          <w:b/>
          <w:bCs/>
          <w:sz w:val="36"/>
          <w:szCs w:val="36"/>
          <w:highlight w:val="none"/>
        </w:rPr>
      </w:pPr>
      <w:r>
        <w:rPr>
          <w:rFonts w:hint="eastAsia" w:eastAsia="黑体"/>
          <w:b/>
          <w:bCs/>
          <w:sz w:val="28"/>
        </w:rPr>
        <w:br w:type="page"/>
      </w:r>
      <w:r>
        <w:rPr>
          <w:rFonts w:hint="eastAsia" w:ascii="黑体" w:eastAsia="黑体"/>
          <w:b/>
          <w:bCs/>
          <w:sz w:val="36"/>
          <w:szCs w:val="36"/>
          <w:highlight w:val="none"/>
        </w:rPr>
        <w:t xml:space="preserve"> </w:t>
      </w:r>
      <w:bookmarkStart w:id="11" w:name="_Toc13248"/>
      <w:r>
        <w:rPr>
          <w:rFonts w:ascii="黑体" w:eastAsia="黑体"/>
          <w:b/>
          <w:bCs/>
          <w:sz w:val="36"/>
          <w:szCs w:val="36"/>
          <w:highlight w:val="none"/>
        </w:rPr>
        <w:t>技术</w:t>
      </w:r>
      <w:r>
        <w:rPr>
          <w:rFonts w:hint="eastAsia" w:ascii="黑体" w:eastAsia="黑体"/>
          <w:b/>
          <w:bCs/>
          <w:sz w:val="36"/>
          <w:szCs w:val="36"/>
          <w:highlight w:val="none"/>
        </w:rPr>
        <w:t>要求</w:t>
      </w:r>
      <w:bookmarkEnd w:id="11"/>
    </w:p>
    <w:p w14:paraId="015767D1">
      <w:pPr>
        <w:pStyle w:val="7"/>
        <w:spacing w:line="360" w:lineRule="auto"/>
        <w:outlineLvl w:val="1"/>
        <w:rPr>
          <w:rFonts w:hint="eastAsia" w:ascii="黑体" w:eastAsia="黑体"/>
          <w:b/>
          <w:bCs/>
          <w:sz w:val="28"/>
        </w:rPr>
      </w:pPr>
      <w:bookmarkStart w:id="12" w:name="_Toc23780"/>
      <w:r>
        <w:rPr>
          <w:rFonts w:hint="eastAsia" w:ascii="黑体" w:eastAsia="黑体"/>
          <w:b/>
          <w:bCs/>
          <w:sz w:val="28"/>
        </w:rPr>
        <w:t>一、项目名称</w:t>
      </w:r>
    </w:p>
    <w:p w14:paraId="3E484B53">
      <w:pPr>
        <w:keepNext w:val="0"/>
        <w:keepLines w:val="0"/>
        <w:pageBreakBefore w:val="0"/>
        <w:widowControl w:val="0"/>
        <w:kinsoku/>
        <w:wordWrap/>
        <w:overflowPunct/>
        <w:topLinePunct w:val="0"/>
        <w:autoSpaceDE/>
        <w:autoSpaceDN/>
        <w:bidi w:val="0"/>
        <w:adjustRightInd/>
        <w:snapToGrid/>
        <w:spacing w:line="480" w:lineRule="exact"/>
        <w:ind w:right="278" w:firstLine="480" w:firstLineChars="200"/>
        <w:jc w:val="both"/>
        <w:textAlignment w:val="auto"/>
        <w:rPr>
          <w:rFonts w:hint="default" w:ascii="宋体" w:hAnsi="宋体" w:eastAsia="宋体" w:cs="宋体"/>
          <w:kern w:val="2"/>
          <w:sz w:val="24"/>
          <w:szCs w:val="24"/>
          <w:lang w:val="en-US" w:eastAsia="zh-CN" w:bidi="ar-SA"/>
        </w:rPr>
      </w:pPr>
      <w:r>
        <w:rPr>
          <w:rFonts w:hint="eastAsia" w:cs="Times New Roman"/>
          <w:sz w:val="24"/>
          <w:szCs w:val="24"/>
          <w:lang w:val="en-US" w:eastAsia="zh-CN"/>
        </w:rPr>
        <w:t>事故风机与报警装置联锁改造项目</w:t>
      </w:r>
    </w:p>
    <w:p w14:paraId="6A17364F">
      <w:pPr>
        <w:pStyle w:val="7"/>
        <w:numPr>
          <w:ilvl w:val="0"/>
          <w:numId w:val="9"/>
        </w:numPr>
        <w:spacing w:line="360" w:lineRule="auto"/>
        <w:ind w:leftChars="0"/>
        <w:outlineLvl w:val="1"/>
        <w:rPr>
          <w:rFonts w:hint="eastAsia" w:ascii="黑体" w:eastAsia="黑体"/>
          <w:b/>
          <w:bCs/>
          <w:sz w:val="28"/>
        </w:rPr>
      </w:pPr>
      <w:r>
        <w:rPr>
          <w:rFonts w:hint="eastAsia" w:ascii="黑体" w:eastAsia="黑体"/>
          <w:b/>
          <w:bCs/>
          <w:sz w:val="28"/>
        </w:rPr>
        <w:t>项目范围</w:t>
      </w:r>
    </w:p>
    <w:p w14:paraId="225C8E4F">
      <w:pPr>
        <w:spacing w:line="360" w:lineRule="auto"/>
        <w:ind w:firstLine="480" w:firstLineChars="200"/>
        <w:rPr>
          <w:rFonts w:hint="eastAsia" w:ascii="宋体" w:hAnsi="宋体"/>
          <w:sz w:val="24"/>
          <w:highlight w:val="none"/>
          <w:lang w:val="en-US" w:eastAsia="zh-CN"/>
        </w:rPr>
      </w:pPr>
      <w:r>
        <w:rPr>
          <w:rFonts w:hint="eastAsia" w:ascii="宋体" w:hAnsi="宋体"/>
          <w:sz w:val="24"/>
          <w:highlight w:val="none"/>
          <w:lang w:val="en-US" w:eastAsia="zh-CN"/>
        </w:rPr>
        <w:t>卡车公司设备动能部各车间通风机启停与可燃气体报警装置无联动功能，要求对12处事故风机加装联动控制箱，实现与主机的联动和手动控制功能，并更换损坏的4个排风风机。</w:t>
      </w:r>
    </w:p>
    <w:p w14:paraId="2E22F01E">
      <w:pPr>
        <w:spacing w:line="360" w:lineRule="auto"/>
        <w:ind w:firstLine="480" w:firstLineChars="200"/>
        <w:rPr>
          <w:rFonts w:hint="default" w:ascii="宋体" w:hAnsi="宋体"/>
          <w:sz w:val="24"/>
          <w:highlight w:val="none"/>
          <w:lang w:val="en-US" w:eastAsia="zh-CN"/>
        </w:rPr>
      </w:pPr>
      <w:r>
        <w:rPr>
          <w:rFonts w:hint="eastAsia" w:ascii="宋体" w:hAnsi="宋体"/>
          <w:sz w:val="24"/>
          <w:highlight w:val="none"/>
          <w:lang w:val="en-US" w:eastAsia="zh-CN"/>
        </w:rPr>
        <w:t>涉及施工区域（12处）：莱芜污水站（压泥间、污泥浓缩、临时存放间） 、综合站房锅炉房、党家庄污水站（压泥间、污泥干化） 、党家庄预处理（压泥间、预处理） 、党家庄天然气站、党家庄车架阀门间、党家庄锅炉房（蒸汽锅炉、热水锅炉）。</w:t>
      </w:r>
    </w:p>
    <w:p w14:paraId="21BF0222">
      <w:pPr>
        <w:spacing w:line="360" w:lineRule="auto"/>
        <w:rPr>
          <w:rFonts w:hint="eastAsia" w:ascii="宋体" w:hAnsi="宋体"/>
          <w:sz w:val="24"/>
          <w:highlight w:val="none"/>
        </w:rPr>
      </w:pPr>
      <w:r>
        <w:rPr>
          <w:rFonts w:hint="eastAsia" w:ascii="黑体" w:hAnsi="Courier New" w:eastAsia="黑体" w:cs="Times New Roman"/>
          <w:b/>
          <w:bCs/>
          <w:kern w:val="2"/>
          <w:sz w:val="28"/>
          <w:lang w:val="en-US" w:eastAsia="zh-CN" w:bidi="ar-SA"/>
        </w:rPr>
        <w:t>三、基本要求</w:t>
      </w:r>
      <w:r>
        <w:rPr>
          <w:rFonts w:hint="eastAsia" w:cs="Times New Roman"/>
          <w:sz w:val="24"/>
          <w:szCs w:val="24"/>
          <w:lang w:val="en-US" w:eastAsia="zh-CN"/>
        </w:rPr>
        <w:br w:type="textWrapping"/>
      </w:r>
      <w:r>
        <w:rPr>
          <w:rFonts w:hint="eastAsia" w:ascii="宋体" w:hAnsi="宋体"/>
          <w:sz w:val="24"/>
          <w:highlight w:val="none"/>
        </w:rPr>
        <w:t>1、投标方所供材料或设备涉及的专利权技术以及知识产权保护的其它技术等，应保证招标方不因此受到任何侵权指控以及实际损失。</w:t>
      </w:r>
    </w:p>
    <w:p w14:paraId="5B714226">
      <w:pPr>
        <w:spacing w:line="360" w:lineRule="auto"/>
        <w:rPr>
          <w:rFonts w:hint="eastAsia" w:ascii="宋体" w:hAnsi="宋体"/>
          <w:sz w:val="24"/>
          <w:highlight w:val="none"/>
        </w:rPr>
      </w:pPr>
      <w:r>
        <w:rPr>
          <w:rFonts w:hint="eastAsia" w:ascii="宋体" w:hAnsi="宋体"/>
          <w:sz w:val="24"/>
          <w:highlight w:val="none"/>
        </w:rPr>
        <w:t>2、投标方应满足招标方提出的各项技术要求，必要时应当免费提供技术承诺或担保。</w:t>
      </w:r>
    </w:p>
    <w:p w14:paraId="16423956">
      <w:pPr>
        <w:spacing w:line="360" w:lineRule="auto"/>
        <w:rPr>
          <w:rFonts w:hint="eastAsia" w:ascii="宋体" w:hAnsi="宋体"/>
          <w:b/>
          <w:bCs/>
          <w:sz w:val="24"/>
          <w:highlight w:val="none"/>
        </w:rPr>
      </w:pPr>
      <w:r>
        <w:rPr>
          <w:rFonts w:hint="eastAsia" w:ascii="宋体" w:hAnsi="宋体"/>
          <w:b/>
          <w:bCs/>
          <w:sz w:val="24"/>
          <w:highlight w:val="none"/>
        </w:rPr>
        <w:t>投标方应保证所供设备（或材料）为中国公布的非淘汰设备（或材料），并为中国指定或规定的主管部门认可的环保型和节能型设备（或材料）。</w:t>
      </w:r>
    </w:p>
    <w:p w14:paraId="1296C0FD">
      <w:pPr>
        <w:spacing w:line="360" w:lineRule="auto"/>
        <w:rPr>
          <w:rFonts w:hint="eastAsia" w:ascii="宋体" w:hAnsi="宋体"/>
          <w:sz w:val="24"/>
          <w:highlight w:val="none"/>
        </w:rPr>
      </w:pPr>
      <w:r>
        <w:rPr>
          <w:rFonts w:hint="eastAsia" w:ascii="宋体" w:hAnsi="宋体"/>
          <w:sz w:val="24"/>
          <w:highlight w:val="none"/>
        </w:rPr>
        <w:t>3、投标方应对招标方采购的设备或材料所涉及的技术、产能等信息负有保密义务，招标方拥有追究投标方泄密责任的权利；招标方如有需要，投标方应无条件签署保密协议。</w:t>
      </w:r>
    </w:p>
    <w:p w14:paraId="655F7341">
      <w:pPr>
        <w:pStyle w:val="7"/>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黑体" w:hAnsi="Courier New" w:eastAsia="黑体" w:cs="Times New Roman"/>
          <w:b/>
          <w:bCs/>
          <w:kern w:val="2"/>
          <w:sz w:val="28"/>
          <w:lang w:val="en-US" w:eastAsia="zh-CN" w:bidi="ar-SA"/>
        </w:rPr>
      </w:pPr>
      <w:r>
        <w:rPr>
          <w:rFonts w:hint="eastAsia" w:ascii="黑体" w:eastAsia="黑体" w:cs="Times New Roman"/>
          <w:b/>
          <w:bCs/>
          <w:kern w:val="2"/>
          <w:sz w:val="28"/>
          <w:lang w:val="en-US" w:eastAsia="zh-CN" w:bidi="ar-SA"/>
        </w:rPr>
        <w:t>四、</w:t>
      </w:r>
      <w:r>
        <w:rPr>
          <w:rFonts w:hint="eastAsia" w:ascii="黑体" w:hAnsi="Courier New" w:eastAsia="黑体" w:cs="Times New Roman"/>
          <w:b/>
          <w:bCs/>
          <w:kern w:val="2"/>
          <w:sz w:val="28"/>
          <w:lang w:val="en-US" w:eastAsia="zh-CN" w:bidi="ar-SA"/>
        </w:rPr>
        <w:t>执行标准</w:t>
      </w:r>
    </w:p>
    <w:p w14:paraId="37F43A16">
      <w:pPr>
        <w:spacing w:line="360" w:lineRule="auto"/>
        <w:rPr>
          <w:rFonts w:hint="eastAsia" w:ascii="宋体" w:hAnsi="宋体"/>
          <w:sz w:val="24"/>
          <w:highlight w:val="none"/>
        </w:rPr>
      </w:pPr>
      <w:bookmarkStart w:id="13" w:name="_Toc227726367"/>
      <w:r>
        <w:rPr>
          <w:rFonts w:hint="eastAsia" w:ascii="宋体" w:hAnsi="宋体"/>
          <w:sz w:val="24"/>
          <w:highlight w:val="none"/>
        </w:rPr>
        <w:t>1、招标方所涉及标准仅为涉及的主要标准，而且不保证其为最新版执行标准；投标方应当在投标文件中认真予以填写、补充和修改完善。</w:t>
      </w:r>
      <w:bookmarkEnd w:id="13"/>
      <w:bookmarkStart w:id="14" w:name="_Toc227726368"/>
    </w:p>
    <w:p w14:paraId="07213D59">
      <w:pPr>
        <w:spacing w:line="360" w:lineRule="auto"/>
        <w:rPr>
          <w:rFonts w:hint="eastAsia" w:ascii="宋体" w:hAnsi="宋体"/>
          <w:sz w:val="24"/>
          <w:highlight w:val="none"/>
        </w:rPr>
      </w:pPr>
      <w:r>
        <w:rPr>
          <w:rFonts w:hint="eastAsia" w:ascii="宋体" w:hAnsi="宋体"/>
          <w:sz w:val="24"/>
          <w:highlight w:val="none"/>
        </w:rPr>
        <w:t>2、投标方需要执行的标准，应当以所供货物通过招标方将来组织的最终验收之日开始执行的最新标准。</w:t>
      </w:r>
      <w:bookmarkEnd w:id="14"/>
      <w:bookmarkStart w:id="15" w:name="_Toc227726369"/>
    </w:p>
    <w:p w14:paraId="2ED957EC">
      <w:pPr>
        <w:spacing w:line="360" w:lineRule="auto"/>
        <w:rPr>
          <w:rFonts w:hint="eastAsia" w:ascii="宋体" w:hAnsi="宋体"/>
          <w:sz w:val="24"/>
          <w:highlight w:val="none"/>
        </w:rPr>
      </w:pPr>
      <w:r>
        <w:rPr>
          <w:rFonts w:hint="eastAsia" w:ascii="宋体" w:hAnsi="宋体"/>
          <w:sz w:val="24"/>
          <w:highlight w:val="none"/>
        </w:rPr>
        <w:t>3、提供的材料质量、技术标准如在招投标文件中无相应说明，则按中华人民共和国有关部门颁发的最新的国标或专业（部）标准执行及相应的国际标准。没有国家或专业（部）标准的，按企业标准执行。但当标准不统一时，原则上按照最严格标准执行。</w:t>
      </w:r>
      <w:bookmarkEnd w:id="15"/>
      <w:r>
        <w:rPr>
          <w:rFonts w:hint="eastAsia" w:ascii="宋体" w:hAnsi="宋体"/>
          <w:sz w:val="24"/>
          <w:highlight w:val="none"/>
        </w:rPr>
        <w:t xml:space="preserve"> </w:t>
      </w:r>
    </w:p>
    <w:p w14:paraId="40EE0FBC">
      <w:pPr>
        <w:spacing w:line="360" w:lineRule="auto"/>
        <w:rPr>
          <w:rFonts w:ascii="宋体" w:hAnsi="宋体"/>
          <w:sz w:val="24"/>
          <w:highlight w:val="none"/>
        </w:rPr>
      </w:pPr>
      <w:r>
        <w:rPr>
          <w:rFonts w:hint="eastAsia" w:ascii="宋体" w:hAnsi="宋体"/>
          <w:sz w:val="24"/>
          <w:highlight w:val="none"/>
        </w:rPr>
        <w:t>4、项目施工及验收依据</w:t>
      </w:r>
    </w:p>
    <w:p w14:paraId="485AFE29">
      <w:pPr>
        <w:keepNext w:val="0"/>
        <w:keepLines w:val="0"/>
        <w:pageBreakBefore w:val="0"/>
        <w:widowControl w:val="0"/>
        <w:tabs>
          <w:tab w:val="left" w:pos="612"/>
        </w:tabs>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GB 12801-2025《生产过程安全基本要求》</w:t>
      </w:r>
      <w:r>
        <w:rPr>
          <w:rFonts w:hint="eastAsia" w:ascii="宋体" w:hAnsi="宋体" w:eastAsia="宋体" w:cs="宋体"/>
          <w:b w:val="0"/>
          <w:bCs w:val="0"/>
          <w:sz w:val="24"/>
          <w:szCs w:val="24"/>
        </w:rPr>
        <w:br w:type="textWrapping"/>
      </w:r>
      <w:r>
        <w:rPr>
          <w:rFonts w:hint="eastAsia" w:ascii="宋体" w:hAnsi="宋体" w:eastAsia="宋体" w:cs="宋体"/>
          <w:b w:val="0"/>
          <w:bCs w:val="0"/>
          <w:sz w:val="24"/>
          <w:szCs w:val="24"/>
        </w:rPr>
        <w:t>GB 50019-2015《工业建筑供暖通风与空气调节设计规范》</w:t>
      </w:r>
    </w:p>
    <w:p w14:paraId="341B826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both"/>
        <w:textAlignment w:val="auto"/>
        <w:rPr>
          <w:rFonts w:hint="eastAsia" w:cs="Times New Roman"/>
          <w:sz w:val="24"/>
          <w:szCs w:val="24"/>
          <w:lang w:val="en-US" w:eastAsia="zh-CN"/>
        </w:rPr>
      </w:pPr>
      <w:r>
        <w:rPr>
          <w:rFonts w:hint="eastAsia" w:ascii="黑体" w:hAnsi="Courier New" w:eastAsia="黑体" w:cs="Times New Roman"/>
          <w:b/>
          <w:bCs/>
          <w:kern w:val="2"/>
          <w:sz w:val="28"/>
          <w:lang w:val="en-US" w:eastAsia="zh-CN" w:bidi="ar-SA"/>
        </w:rPr>
        <w:t>五、具体实施要求</w:t>
      </w:r>
    </w:p>
    <w:p w14:paraId="042AF756">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1、可燃气体报警装置检测到车间浓度超标时，对应车间通风机自动启动。并保留手动启动功能。</w:t>
      </w:r>
    </w:p>
    <w:p w14:paraId="74237A1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2、更换相关线缆及穿线管，对部分车间总计损坏的4处风机进行更换。</w:t>
      </w:r>
      <w:r>
        <w:rPr>
          <w:rFonts w:hint="eastAsia" w:ascii="宋体" w:hAnsi="宋体"/>
          <w:sz w:val="24"/>
          <w:highlight w:val="none"/>
          <w:lang w:val="en-US" w:eastAsia="zh-CN"/>
        </w:rPr>
        <w:br w:type="textWrapping"/>
      </w:r>
      <w:r>
        <w:rPr>
          <w:rFonts w:hint="eastAsia" w:ascii="宋体" w:hAnsi="宋体"/>
          <w:sz w:val="24"/>
          <w:highlight w:val="none"/>
          <w:lang w:val="en-US" w:eastAsia="zh-CN"/>
        </w:rPr>
        <w:t>3、设备/材料要求</w:t>
      </w:r>
    </w:p>
    <w:p w14:paraId="68FF9338">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3.1联动控制箱</w:t>
      </w:r>
    </w:p>
    <w:p w14:paraId="6CB21E74">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采用基业箱子，尺寸500x600。</w:t>
      </w:r>
    </w:p>
    <w:p w14:paraId="4FDCDD77">
      <w:pPr>
        <w:spacing w:line="360" w:lineRule="auto"/>
        <w:rPr>
          <w:rFonts w:hint="default" w:ascii="宋体" w:hAnsi="宋体"/>
          <w:sz w:val="24"/>
          <w:highlight w:val="none"/>
          <w:lang w:val="en-US" w:eastAsia="zh-CN"/>
        </w:rPr>
      </w:pPr>
      <w:r>
        <w:rPr>
          <w:rFonts w:hint="eastAsia" w:ascii="宋体" w:hAnsi="宋体"/>
          <w:sz w:val="24"/>
          <w:highlight w:val="none"/>
          <w:lang w:val="en-US" w:eastAsia="zh-CN"/>
        </w:rPr>
        <w:t>主控制采用PLC控制</w:t>
      </w:r>
    </w:p>
    <w:p w14:paraId="78924554">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内部有三路空气开关、接触器、热继电器</w:t>
      </w:r>
    </w:p>
    <w:p w14:paraId="1CC5DEC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控制箱面板带上电指示灯、报警蜂鸣器、手自动切换旋钮、手动启停按钮。</w:t>
      </w:r>
    </w:p>
    <w:p w14:paraId="3AA64237">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配套接线端子、接地线排。</w:t>
      </w:r>
    </w:p>
    <w:p w14:paraId="2BBBC7F9">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3.2风机</w:t>
      </w:r>
    </w:p>
    <w:p w14:paraId="3A0D71CC">
      <w:pPr>
        <w:spacing w:line="360" w:lineRule="auto"/>
        <w:rPr>
          <w:rFonts w:hint="eastAsia" w:ascii="宋体" w:hAnsi="宋体"/>
          <w:sz w:val="24"/>
          <w:highlight w:val="none"/>
          <w:lang w:val="en-US" w:eastAsia="zh-CN"/>
        </w:rPr>
      </w:pPr>
      <w:r>
        <w:rPr>
          <w:rFonts w:hint="eastAsia" w:ascii="宋体" w:hAnsi="宋体"/>
          <w:color w:val="auto"/>
          <w:sz w:val="24"/>
          <w:highlight w:val="none"/>
          <w:lang w:val="en-US" w:eastAsia="zh-CN"/>
        </w:rPr>
        <w:t>有防爆要求的场所，所使用的通风机采用防爆轴</w:t>
      </w:r>
      <w:r>
        <w:rPr>
          <w:rFonts w:hint="eastAsia" w:ascii="宋体" w:hAnsi="宋体"/>
          <w:sz w:val="24"/>
          <w:highlight w:val="none"/>
          <w:lang w:val="en-US" w:eastAsia="zh-CN"/>
        </w:rPr>
        <w:t>流风机。</w:t>
      </w:r>
    </w:p>
    <w:p w14:paraId="114C826B">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3.3线缆铺设</w:t>
      </w:r>
    </w:p>
    <w:p w14:paraId="6A75C97C">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采用穿线管进行铺设线缆。部分车间需要防爆要求的采用加厚镀锌穿线管。</w:t>
      </w:r>
    </w:p>
    <w:p w14:paraId="7E894C55">
      <w:pPr>
        <w:spacing w:line="360" w:lineRule="auto"/>
        <w:rPr>
          <w:rFonts w:hint="eastAsia" w:ascii="宋体" w:hAnsi="宋体"/>
          <w:sz w:val="24"/>
          <w:highlight w:val="none"/>
          <w:lang w:val="en-US" w:eastAsia="zh-CN"/>
        </w:rPr>
      </w:pPr>
      <w:r>
        <w:rPr>
          <w:rFonts w:hint="eastAsia" w:ascii="宋体" w:hAnsi="宋体"/>
          <w:sz w:val="24"/>
          <w:highlight w:val="none"/>
          <w:lang w:val="en-US" w:eastAsia="zh-CN"/>
        </w:rPr>
        <w:t>4、各车间要求</w:t>
      </w:r>
    </w:p>
    <w:tbl>
      <w:tblPr>
        <w:tblStyle w:val="1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1"/>
        <w:gridCol w:w="1721"/>
        <w:gridCol w:w="1666"/>
        <w:gridCol w:w="1543"/>
        <w:gridCol w:w="1110"/>
        <w:gridCol w:w="797"/>
        <w:gridCol w:w="1831"/>
      </w:tblGrid>
      <w:tr w14:paraId="1F8FD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2" w:hRule="atLeast"/>
        </w:trPr>
        <w:tc>
          <w:tcPr>
            <w:tcW w:w="329" w:type="pct"/>
            <w:tcBorders>
              <w:top w:val="single" w:color="000000" w:sz="4" w:space="0"/>
              <w:left w:val="single" w:color="000000" w:sz="4" w:space="0"/>
              <w:bottom w:val="nil"/>
              <w:right w:val="single" w:color="000000" w:sz="4" w:space="0"/>
            </w:tcBorders>
            <w:shd w:val="clear" w:color="auto" w:fill="auto"/>
            <w:vAlign w:val="center"/>
          </w:tcPr>
          <w:p w14:paraId="667990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927" w:type="pct"/>
            <w:tcBorders>
              <w:top w:val="single" w:color="000000" w:sz="4" w:space="0"/>
              <w:left w:val="single" w:color="000000" w:sz="4" w:space="0"/>
              <w:bottom w:val="nil"/>
              <w:right w:val="single" w:color="000000" w:sz="4" w:space="0"/>
            </w:tcBorders>
            <w:shd w:val="clear" w:color="auto" w:fill="auto"/>
            <w:vAlign w:val="center"/>
          </w:tcPr>
          <w:p w14:paraId="6F62B73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安装位置</w:t>
            </w:r>
          </w:p>
        </w:tc>
        <w:tc>
          <w:tcPr>
            <w:tcW w:w="897" w:type="pct"/>
            <w:tcBorders>
              <w:top w:val="single" w:color="000000" w:sz="4" w:space="0"/>
              <w:left w:val="single" w:color="000000" w:sz="4" w:space="0"/>
              <w:bottom w:val="nil"/>
              <w:right w:val="single" w:color="000000" w:sz="4" w:space="0"/>
            </w:tcBorders>
            <w:shd w:val="clear" w:color="auto" w:fill="auto"/>
            <w:vAlign w:val="center"/>
          </w:tcPr>
          <w:p w14:paraId="690C4C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材料名称</w:t>
            </w:r>
          </w:p>
        </w:tc>
        <w:tc>
          <w:tcPr>
            <w:tcW w:w="831" w:type="pct"/>
            <w:tcBorders>
              <w:top w:val="single" w:color="000000" w:sz="4" w:space="0"/>
              <w:left w:val="single" w:color="000000" w:sz="4" w:space="0"/>
              <w:bottom w:val="nil"/>
              <w:right w:val="single" w:color="000000" w:sz="4" w:space="0"/>
            </w:tcBorders>
            <w:shd w:val="clear" w:color="auto" w:fill="auto"/>
            <w:vAlign w:val="center"/>
          </w:tcPr>
          <w:p w14:paraId="738DB2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598" w:type="pct"/>
            <w:tcBorders>
              <w:top w:val="single" w:color="000000" w:sz="4" w:space="0"/>
              <w:left w:val="single" w:color="000000" w:sz="4" w:space="0"/>
              <w:bottom w:val="nil"/>
              <w:right w:val="single" w:color="000000" w:sz="4" w:space="0"/>
            </w:tcBorders>
            <w:shd w:val="clear" w:color="auto" w:fill="auto"/>
            <w:vAlign w:val="center"/>
          </w:tcPr>
          <w:p w14:paraId="52C5D3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429" w:type="pct"/>
            <w:tcBorders>
              <w:top w:val="single" w:color="000000" w:sz="4" w:space="0"/>
              <w:left w:val="single" w:color="000000" w:sz="4" w:space="0"/>
              <w:bottom w:val="nil"/>
              <w:right w:val="single" w:color="000000" w:sz="4" w:space="0"/>
            </w:tcBorders>
            <w:shd w:val="clear" w:color="auto" w:fill="auto"/>
            <w:vAlign w:val="center"/>
          </w:tcPr>
          <w:p w14:paraId="593B4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986" w:type="pct"/>
            <w:tcBorders>
              <w:top w:val="single" w:color="000000" w:sz="4" w:space="0"/>
              <w:left w:val="single" w:color="000000" w:sz="4" w:space="0"/>
              <w:bottom w:val="nil"/>
              <w:right w:val="single" w:color="000000" w:sz="4" w:space="0"/>
            </w:tcBorders>
            <w:shd w:val="clear" w:color="auto" w:fill="auto"/>
            <w:vAlign w:val="center"/>
          </w:tcPr>
          <w:p w14:paraId="5CD26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420D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19312A7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659F8D0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74"/>
                <w:lang w:val="en-US" w:eastAsia="zh-CN" w:bidi="ar"/>
              </w:rPr>
              <w:t>莱芜污水站</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3C5FBB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09D9A7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355F0A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0424B0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000000" w:sz="8" w:space="0"/>
              <w:left w:val="single" w:color="000000" w:sz="4" w:space="0"/>
              <w:bottom w:val="single" w:color="000000" w:sz="8" w:space="0"/>
              <w:right w:val="single" w:color="000000" w:sz="8" w:space="0"/>
            </w:tcBorders>
            <w:shd w:val="clear" w:color="auto" w:fill="auto"/>
            <w:vAlign w:val="center"/>
          </w:tcPr>
          <w:p w14:paraId="7B52AA6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控制箱带现场控制与联动控制切换。</w:t>
            </w:r>
          </w:p>
        </w:tc>
      </w:tr>
      <w:tr w14:paraId="664CF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9A752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27" w:type="pct"/>
            <w:vMerge w:val="continue"/>
            <w:tcBorders>
              <w:left w:val="single" w:color="000000" w:sz="4" w:space="0"/>
              <w:right w:val="single" w:color="000000" w:sz="4" w:space="0"/>
            </w:tcBorders>
            <w:shd w:val="clear" w:color="auto" w:fill="auto"/>
            <w:vAlign w:val="center"/>
          </w:tcPr>
          <w:p w14:paraId="3928DF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E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0EB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3D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F9D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8" w:space="0"/>
              <w:right w:val="single" w:color="000000" w:sz="8" w:space="0"/>
            </w:tcBorders>
            <w:shd w:val="clear" w:color="auto" w:fill="auto"/>
            <w:vAlign w:val="center"/>
          </w:tcPr>
          <w:p w14:paraId="3C60A227">
            <w:pPr>
              <w:jc w:val="center"/>
              <w:rPr>
                <w:rFonts w:hint="eastAsia" w:ascii="宋体" w:hAnsi="宋体" w:eastAsia="宋体" w:cs="宋体"/>
                <w:i w:val="0"/>
                <w:iCs w:val="0"/>
                <w:color w:val="000000"/>
                <w:sz w:val="24"/>
                <w:szCs w:val="24"/>
                <w:u w:val="none"/>
              </w:rPr>
            </w:pPr>
          </w:p>
        </w:tc>
      </w:tr>
      <w:tr w14:paraId="2417A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329" w:type="pct"/>
            <w:tcBorders>
              <w:top w:val="single" w:color="000000" w:sz="4" w:space="0"/>
              <w:left w:val="single" w:color="000000" w:sz="8" w:space="0"/>
              <w:bottom w:val="single" w:color="000000" w:sz="8" w:space="0"/>
              <w:right w:val="single" w:color="000000" w:sz="4" w:space="0"/>
            </w:tcBorders>
            <w:shd w:val="clear" w:color="auto" w:fill="auto"/>
            <w:vAlign w:val="center"/>
          </w:tcPr>
          <w:p w14:paraId="5BC969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27" w:type="pct"/>
            <w:vMerge w:val="continue"/>
            <w:tcBorders>
              <w:left w:val="single" w:color="000000" w:sz="4" w:space="0"/>
              <w:bottom w:val="single" w:color="000000" w:sz="8" w:space="0"/>
              <w:right w:val="single" w:color="000000" w:sz="4" w:space="0"/>
            </w:tcBorders>
            <w:shd w:val="clear" w:color="auto" w:fill="auto"/>
            <w:vAlign w:val="center"/>
          </w:tcPr>
          <w:p w14:paraId="648075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8" w:space="0"/>
              <w:right w:val="single" w:color="000000" w:sz="4" w:space="0"/>
            </w:tcBorders>
            <w:shd w:val="clear" w:color="auto" w:fill="auto"/>
            <w:vAlign w:val="center"/>
          </w:tcPr>
          <w:p w14:paraId="6D9754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普通金属穿线管</w:t>
            </w:r>
          </w:p>
        </w:tc>
        <w:tc>
          <w:tcPr>
            <w:tcW w:w="831" w:type="pct"/>
            <w:tcBorders>
              <w:top w:val="single" w:color="000000" w:sz="4" w:space="0"/>
              <w:left w:val="single" w:color="000000" w:sz="4" w:space="0"/>
              <w:bottom w:val="single" w:color="000000" w:sz="8" w:space="0"/>
              <w:right w:val="single" w:color="000000" w:sz="4" w:space="0"/>
            </w:tcBorders>
            <w:shd w:val="clear" w:color="auto" w:fill="auto"/>
            <w:noWrap/>
            <w:vAlign w:val="center"/>
          </w:tcPr>
          <w:p w14:paraId="68B50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946FC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42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7E079B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8" w:space="0"/>
              <w:right w:val="single" w:color="000000" w:sz="8" w:space="0"/>
            </w:tcBorders>
            <w:shd w:val="clear" w:color="auto" w:fill="auto"/>
            <w:vAlign w:val="center"/>
          </w:tcPr>
          <w:p w14:paraId="034B4C89">
            <w:pPr>
              <w:jc w:val="center"/>
              <w:rPr>
                <w:rFonts w:hint="eastAsia" w:ascii="宋体" w:hAnsi="宋体" w:eastAsia="宋体" w:cs="宋体"/>
                <w:i w:val="0"/>
                <w:iCs w:val="0"/>
                <w:color w:val="000000"/>
                <w:sz w:val="24"/>
                <w:szCs w:val="24"/>
                <w:u w:val="none"/>
              </w:rPr>
            </w:pPr>
          </w:p>
        </w:tc>
      </w:tr>
      <w:tr w14:paraId="1E60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005B08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16B8B947">
            <w:pPr>
              <w:keepNext w:val="0"/>
              <w:keepLines w:val="0"/>
              <w:widowControl/>
              <w:suppressLineNumbers w:val="0"/>
              <w:tabs>
                <w:tab w:val="left" w:pos="545"/>
              </w:tabs>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莱芜综合</w:t>
            </w:r>
            <w:r>
              <w:rPr>
                <w:rFonts w:hint="eastAsia" w:ascii="宋体" w:hAnsi="宋体" w:cs="宋体"/>
                <w:i w:val="0"/>
                <w:iCs w:val="0"/>
                <w:color w:val="000000"/>
                <w:kern w:val="0"/>
                <w:sz w:val="24"/>
                <w:szCs w:val="24"/>
                <w:u w:val="none"/>
                <w:lang w:val="en-US" w:eastAsia="zh-CN" w:bidi="ar"/>
              </w:rPr>
              <w:t>站</w:t>
            </w:r>
            <w:r>
              <w:rPr>
                <w:rFonts w:hint="eastAsia" w:ascii="宋体" w:hAnsi="宋体" w:eastAsia="宋体" w:cs="宋体"/>
                <w:i w:val="0"/>
                <w:iCs w:val="0"/>
                <w:color w:val="000000"/>
                <w:kern w:val="0"/>
                <w:sz w:val="24"/>
                <w:szCs w:val="24"/>
                <w:u w:val="none"/>
                <w:lang w:val="en-US" w:eastAsia="zh-CN" w:bidi="ar"/>
              </w:rPr>
              <w:t>房</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4A6B29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45319DE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027D27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7E1BBF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000000" w:sz="8" w:space="0"/>
              <w:left w:val="single" w:color="000000" w:sz="4" w:space="0"/>
              <w:bottom w:val="single" w:color="000000" w:sz="8" w:space="0"/>
              <w:right w:val="single" w:color="000000" w:sz="8" w:space="0"/>
            </w:tcBorders>
            <w:shd w:val="clear" w:color="auto" w:fill="auto"/>
            <w:vAlign w:val="center"/>
          </w:tcPr>
          <w:p w14:paraId="6F5615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控制箱带现场控制与联动控制切换，现场及值班室主机都可控制风机联动。穿线管符合防爆要求。</w:t>
            </w:r>
          </w:p>
        </w:tc>
      </w:tr>
      <w:tr w14:paraId="466E6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48C2DF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27" w:type="pct"/>
            <w:vMerge w:val="continue"/>
            <w:tcBorders>
              <w:left w:val="single" w:color="000000" w:sz="4" w:space="0"/>
              <w:right w:val="single" w:color="000000" w:sz="4" w:space="0"/>
            </w:tcBorders>
            <w:shd w:val="clear" w:color="auto" w:fill="auto"/>
            <w:vAlign w:val="center"/>
          </w:tcPr>
          <w:p w14:paraId="5FB20A0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A58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B98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F2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7C8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8" w:space="0"/>
              <w:right w:val="single" w:color="000000" w:sz="8" w:space="0"/>
            </w:tcBorders>
            <w:shd w:val="clear" w:color="auto" w:fill="auto"/>
            <w:vAlign w:val="center"/>
          </w:tcPr>
          <w:p w14:paraId="2A52743D">
            <w:pPr>
              <w:jc w:val="center"/>
              <w:rPr>
                <w:rFonts w:hint="eastAsia" w:ascii="宋体" w:hAnsi="宋体" w:eastAsia="宋体" w:cs="宋体"/>
                <w:i w:val="0"/>
                <w:iCs w:val="0"/>
                <w:color w:val="000000"/>
                <w:sz w:val="24"/>
                <w:szCs w:val="24"/>
                <w:u w:val="none"/>
              </w:rPr>
            </w:pPr>
          </w:p>
        </w:tc>
      </w:tr>
      <w:tr w14:paraId="7C5DC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8" w:space="0"/>
              <w:right w:val="single" w:color="000000" w:sz="4" w:space="0"/>
            </w:tcBorders>
            <w:shd w:val="clear" w:color="auto" w:fill="auto"/>
            <w:vAlign w:val="center"/>
          </w:tcPr>
          <w:p w14:paraId="6EDCD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927" w:type="pct"/>
            <w:vMerge w:val="continue"/>
            <w:tcBorders>
              <w:left w:val="single" w:color="000000" w:sz="4" w:space="0"/>
              <w:bottom w:val="single" w:color="000000" w:sz="8" w:space="0"/>
              <w:right w:val="single" w:color="000000" w:sz="4" w:space="0"/>
            </w:tcBorders>
            <w:shd w:val="clear" w:color="auto" w:fill="auto"/>
            <w:vAlign w:val="center"/>
          </w:tcPr>
          <w:p w14:paraId="33DB24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C2D5B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镀锌</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4" w:space="0"/>
              <w:left w:val="single" w:color="000000" w:sz="4" w:space="0"/>
              <w:bottom w:val="single" w:color="000000" w:sz="8" w:space="0"/>
              <w:right w:val="single" w:color="000000" w:sz="4" w:space="0"/>
            </w:tcBorders>
            <w:shd w:val="clear" w:color="auto" w:fill="auto"/>
            <w:noWrap/>
            <w:vAlign w:val="center"/>
          </w:tcPr>
          <w:p w14:paraId="527F3E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2F034C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2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084FAE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8" w:space="0"/>
              <w:right w:val="single" w:color="000000" w:sz="8" w:space="0"/>
            </w:tcBorders>
            <w:shd w:val="clear" w:color="auto" w:fill="auto"/>
            <w:vAlign w:val="center"/>
          </w:tcPr>
          <w:p w14:paraId="0B692E72">
            <w:pPr>
              <w:jc w:val="center"/>
              <w:rPr>
                <w:rFonts w:hint="eastAsia" w:ascii="宋体" w:hAnsi="宋体" w:eastAsia="宋体" w:cs="宋体"/>
                <w:i w:val="0"/>
                <w:iCs w:val="0"/>
                <w:color w:val="000000"/>
                <w:sz w:val="24"/>
                <w:szCs w:val="24"/>
                <w:u w:val="none"/>
              </w:rPr>
            </w:pPr>
          </w:p>
        </w:tc>
      </w:tr>
      <w:tr w14:paraId="41CA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0459FD1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7328716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党家污水站</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723022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48D4CE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38E02D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5E47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14:paraId="6D5EEE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w:t>
            </w:r>
            <w:r>
              <w:rPr>
                <w:rFonts w:hint="eastAsia" w:ascii="宋体" w:hAnsi="宋体" w:cs="宋体"/>
                <w:i w:val="0"/>
                <w:iCs w:val="0"/>
                <w:color w:val="000000"/>
                <w:kern w:val="0"/>
                <w:sz w:val="24"/>
                <w:szCs w:val="24"/>
                <w:u w:val="none"/>
                <w:lang w:val="en-US" w:eastAsia="zh-CN" w:bidi="ar"/>
              </w:rPr>
              <w:t>并更换</w:t>
            </w:r>
            <w:r>
              <w:rPr>
                <w:rFonts w:hint="eastAsia" w:ascii="宋体" w:hAnsi="宋体" w:eastAsia="宋体" w:cs="宋体"/>
                <w:i w:val="0"/>
                <w:iCs w:val="0"/>
                <w:color w:val="000000"/>
                <w:kern w:val="0"/>
                <w:sz w:val="24"/>
                <w:szCs w:val="24"/>
                <w:u w:val="none"/>
                <w:lang w:val="en-US" w:eastAsia="zh-CN" w:bidi="ar"/>
              </w:rPr>
              <w:t>两个风机。</w:t>
            </w:r>
          </w:p>
        </w:tc>
      </w:tr>
      <w:tr w14:paraId="6027E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5D4843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27" w:type="pct"/>
            <w:vMerge w:val="continue"/>
            <w:tcBorders>
              <w:left w:val="single" w:color="000000" w:sz="4" w:space="0"/>
              <w:right w:val="single" w:color="000000" w:sz="4" w:space="0"/>
            </w:tcBorders>
            <w:shd w:val="clear" w:color="auto" w:fill="auto"/>
            <w:vAlign w:val="center"/>
          </w:tcPr>
          <w:p w14:paraId="55C3F0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213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572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D477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E0A3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45C46D5D">
            <w:pPr>
              <w:jc w:val="center"/>
              <w:rPr>
                <w:rFonts w:hint="eastAsia" w:ascii="宋体" w:hAnsi="宋体" w:eastAsia="宋体" w:cs="宋体"/>
                <w:i w:val="0"/>
                <w:iCs w:val="0"/>
                <w:color w:val="000000"/>
                <w:sz w:val="24"/>
                <w:szCs w:val="24"/>
                <w:u w:val="none"/>
              </w:rPr>
            </w:pPr>
          </w:p>
        </w:tc>
      </w:tr>
      <w:tr w14:paraId="362CB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EE6D6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927" w:type="pct"/>
            <w:vMerge w:val="continue"/>
            <w:tcBorders>
              <w:left w:val="single" w:color="000000" w:sz="4" w:space="0"/>
              <w:right w:val="single" w:color="000000" w:sz="4" w:space="0"/>
            </w:tcBorders>
            <w:shd w:val="clear" w:color="auto" w:fill="auto"/>
            <w:vAlign w:val="center"/>
          </w:tcPr>
          <w:p w14:paraId="0903A9D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BD5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普通金属</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19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E0F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0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41229038">
            <w:pPr>
              <w:jc w:val="center"/>
              <w:rPr>
                <w:rFonts w:hint="eastAsia" w:ascii="宋体" w:hAnsi="宋体" w:eastAsia="宋体" w:cs="宋体"/>
                <w:i w:val="0"/>
                <w:iCs w:val="0"/>
                <w:color w:val="000000"/>
                <w:sz w:val="24"/>
                <w:szCs w:val="24"/>
                <w:u w:val="none"/>
              </w:rPr>
            </w:pPr>
          </w:p>
        </w:tc>
      </w:tr>
      <w:tr w14:paraId="32FF5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329" w:type="pct"/>
            <w:tcBorders>
              <w:top w:val="single" w:color="000000" w:sz="4" w:space="0"/>
              <w:left w:val="single" w:color="000000" w:sz="8" w:space="0"/>
              <w:bottom w:val="single" w:color="000000" w:sz="8" w:space="0"/>
              <w:right w:val="single" w:color="000000" w:sz="4" w:space="0"/>
            </w:tcBorders>
            <w:shd w:val="clear" w:color="auto" w:fill="auto"/>
            <w:vAlign w:val="center"/>
          </w:tcPr>
          <w:p w14:paraId="4364E3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27" w:type="pct"/>
            <w:vMerge w:val="continue"/>
            <w:tcBorders>
              <w:left w:val="single" w:color="000000" w:sz="4" w:space="0"/>
              <w:bottom w:val="single" w:color="000000" w:sz="8" w:space="0"/>
              <w:right w:val="single" w:color="000000" w:sz="4" w:space="0"/>
            </w:tcBorders>
            <w:shd w:val="clear" w:color="auto" w:fill="auto"/>
            <w:vAlign w:val="center"/>
          </w:tcPr>
          <w:p w14:paraId="6C2FDBE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8F469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排烟风机</w:t>
            </w:r>
          </w:p>
        </w:tc>
        <w:tc>
          <w:tcPr>
            <w:tcW w:w="831" w:type="pct"/>
            <w:tcBorders>
              <w:top w:val="single" w:color="000000" w:sz="4" w:space="0"/>
              <w:left w:val="single" w:color="000000" w:sz="4" w:space="0"/>
              <w:bottom w:val="single" w:color="000000" w:sz="8" w:space="0"/>
              <w:right w:val="single" w:color="000000" w:sz="4" w:space="0"/>
            </w:tcBorders>
            <w:shd w:val="clear" w:color="auto" w:fill="auto"/>
            <w:vAlign w:val="center"/>
          </w:tcPr>
          <w:p w14:paraId="113133FB">
            <w:pPr>
              <w:jc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建议按现有尺寸更换</w:t>
            </w:r>
          </w:p>
        </w:tc>
        <w:tc>
          <w:tcPr>
            <w:tcW w:w="59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9266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16F91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7165B8C4">
            <w:pPr>
              <w:jc w:val="center"/>
              <w:rPr>
                <w:rFonts w:hint="eastAsia" w:ascii="宋体" w:hAnsi="宋体" w:eastAsia="宋体" w:cs="宋体"/>
                <w:i w:val="0"/>
                <w:iCs w:val="0"/>
                <w:color w:val="000000"/>
                <w:sz w:val="24"/>
                <w:szCs w:val="24"/>
                <w:u w:val="none"/>
              </w:rPr>
            </w:pPr>
          </w:p>
        </w:tc>
      </w:tr>
      <w:tr w14:paraId="6D1BF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081B61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10993337">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党家预处理站</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6A72A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211683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6BA7F0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78E8F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14:paraId="7F9D7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w:t>
            </w:r>
          </w:p>
        </w:tc>
      </w:tr>
      <w:tr w14:paraId="20F7A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5A578C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927" w:type="pct"/>
            <w:vMerge w:val="continue"/>
            <w:tcBorders>
              <w:left w:val="single" w:color="000000" w:sz="4" w:space="0"/>
              <w:right w:val="single" w:color="000000" w:sz="4" w:space="0"/>
            </w:tcBorders>
            <w:shd w:val="clear" w:color="auto" w:fill="auto"/>
            <w:vAlign w:val="center"/>
          </w:tcPr>
          <w:p w14:paraId="47AF0B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DFC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673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3D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6CBB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7FE84304">
            <w:pPr>
              <w:jc w:val="center"/>
              <w:rPr>
                <w:rFonts w:hint="eastAsia" w:ascii="宋体" w:hAnsi="宋体" w:eastAsia="宋体" w:cs="宋体"/>
                <w:i w:val="0"/>
                <w:iCs w:val="0"/>
                <w:color w:val="000000"/>
                <w:sz w:val="24"/>
                <w:szCs w:val="24"/>
                <w:u w:val="none"/>
              </w:rPr>
            </w:pPr>
          </w:p>
        </w:tc>
      </w:tr>
      <w:tr w14:paraId="12CC9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3BD4A1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927" w:type="pct"/>
            <w:vMerge w:val="continue"/>
            <w:tcBorders>
              <w:left w:val="single" w:color="000000" w:sz="4" w:space="0"/>
              <w:right w:val="single" w:color="000000" w:sz="4" w:space="0"/>
            </w:tcBorders>
            <w:shd w:val="clear" w:color="auto" w:fill="auto"/>
            <w:vAlign w:val="center"/>
          </w:tcPr>
          <w:p w14:paraId="3AC983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16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普通金属</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E29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07D4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15A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auto" w:sz="4" w:space="0"/>
              <w:right w:val="single" w:color="000000" w:sz="8" w:space="0"/>
            </w:tcBorders>
            <w:shd w:val="clear" w:color="auto" w:fill="auto"/>
            <w:vAlign w:val="center"/>
          </w:tcPr>
          <w:p w14:paraId="3B60B83D">
            <w:pPr>
              <w:jc w:val="center"/>
              <w:rPr>
                <w:rFonts w:hint="eastAsia" w:ascii="宋体" w:hAnsi="宋体" w:eastAsia="宋体" w:cs="宋体"/>
                <w:i w:val="0"/>
                <w:iCs w:val="0"/>
                <w:color w:val="000000"/>
                <w:sz w:val="24"/>
                <w:szCs w:val="24"/>
                <w:u w:val="none"/>
              </w:rPr>
            </w:pPr>
          </w:p>
        </w:tc>
      </w:tr>
      <w:tr w14:paraId="66B6E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7659EEE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14</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56AF8D78">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党家天然气站</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5CD5F1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58DF1A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2FCCB1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258019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auto" w:sz="4" w:space="0"/>
              <w:left w:val="single" w:color="000000" w:sz="4" w:space="0"/>
              <w:right w:val="single" w:color="000000" w:sz="8" w:space="0"/>
            </w:tcBorders>
            <w:shd w:val="clear" w:color="auto" w:fill="auto"/>
            <w:vAlign w:val="center"/>
          </w:tcPr>
          <w:p w14:paraId="48D86FC6">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控制箱带现场控制与联动控制切换。穿线管符合防爆要求。</w:t>
            </w:r>
          </w:p>
        </w:tc>
      </w:tr>
      <w:tr w14:paraId="4EACD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6E63A0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w:t>
            </w:r>
            <w:r>
              <w:rPr>
                <w:rFonts w:hint="eastAsia" w:ascii="宋体" w:hAnsi="宋体" w:cs="宋体"/>
                <w:i w:val="0"/>
                <w:iCs w:val="0"/>
                <w:color w:val="000000"/>
                <w:kern w:val="0"/>
                <w:sz w:val="24"/>
                <w:szCs w:val="24"/>
                <w:u w:val="none"/>
                <w:lang w:val="en-US" w:eastAsia="zh-CN" w:bidi="ar"/>
              </w:rPr>
              <w:t>5</w:t>
            </w:r>
          </w:p>
        </w:tc>
        <w:tc>
          <w:tcPr>
            <w:tcW w:w="927" w:type="pct"/>
            <w:vMerge w:val="continue"/>
            <w:tcBorders>
              <w:left w:val="single" w:color="000000" w:sz="4" w:space="0"/>
              <w:bottom w:val="single" w:color="000000" w:sz="8" w:space="0"/>
              <w:right w:val="single" w:color="000000" w:sz="4" w:space="0"/>
            </w:tcBorders>
            <w:shd w:val="clear" w:color="auto" w:fill="auto"/>
            <w:vAlign w:val="center"/>
          </w:tcPr>
          <w:p w14:paraId="3B6F2F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8" w:space="0"/>
              <w:right w:val="single" w:color="000000" w:sz="4" w:space="0"/>
            </w:tcBorders>
            <w:shd w:val="clear" w:color="auto" w:fill="auto"/>
            <w:vAlign w:val="center"/>
          </w:tcPr>
          <w:p w14:paraId="01756B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镀锌</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4" w:space="0"/>
              <w:left w:val="single" w:color="000000" w:sz="4" w:space="0"/>
              <w:bottom w:val="single" w:color="000000" w:sz="8" w:space="0"/>
              <w:right w:val="single" w:color="000000" w:sz="4" w:space="0"/>
            </w:tcBorders>
            <w:shd w:val="clear" w:color="auto" w:fill="auto"/>
            <w:noWrap/>
            <w:vAlign w:val="center"/>
          </w:tcPr>
          <w:p w14:paraId="021A9A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12046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42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3F363F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61FAB167">
            <w:pPr>
              <w:jc w:val="center"/>
              <w:rPr>
                <w:rFonts w:hint="eastAsia" w:ascii="宋体" w:hAnsi="宋体" w:eastAsia="宋体" w:cs="宋体"/>
                <w:i w:val="0"/>
                <w:iCs w:val="0"/>
                <w:color w:val="000000"/>
                <w:sz w:val="24"/>
                <w:szCs w:val="24"/>
                <w:u w:val="none"/>
              </w:rPr>
            </w:pPr>
          </w:p>
        </w:tc>
      </w:tr>
      <w:tr w14:paraId="573AB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2BFDC416">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16</w:t>
            </w:r>
          </w:p>
        </w:tc>
        <w:tc>
          <w:tcPr>
            <w:tcW w:w="927" w:type="pct"/>
            <w:vMerge w:val="restart"/>
            <w:tcBorders>
              <w:top w:val="nil"/>
              <w:left w:val="single" w:color="000000" w:sz="4" w:space="0"/>
              <w:right w:val="single" w:color="000000" w:sz="4" w:space="0"/>
            </w:tcBorders>
            <w:shd w:val="clear" w:color="auto" w:fill="auto"/>
            <w:vAlign w:val="center"/>
          </w:tcPr>
          <w:p w14:paraId="71E5E704">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党家车架阀门间</w:t>
            </w:r>
          </w:p>
        </w:tc>
        <w:tc>
          <w:tcPr>
            <w:tcW w:w="897" w:type="pct"/>
            <w:tcBorders>
              <w:top w:val="nil"/>
              <w:left w:val="single" w:color="000000" w:sz="4" w:space="0"/>
              <w:bottom w:val="nil"/>
              <w:right w:val="single" w:color="000000" w:sz="4" w:space="0"/>
            </w:tcBorders>
            <w:shd w:val="clear" w:color="auto" w:fill="auto"/>
            <w:vAlign w:val="center"/>
          </w:tcPr>
          <w:p w14:paraId="76B0E1C6">
            <w:pPr>
              <w:keepNext w:val="0"/>
              <w:keepLines w:val="0"/>
              <w:widowControl/>
              <w:suppressLineNumbers w:val="0"/>
              <w:jc w:val="center"/>
              <w:textAlignment w:val="center"/>
              <w:rPr>
                <w:rFonts w:hint="eastAsia" w:ascii="宋体" w:hAnsi="宋体" w:eastAsia="宋体" w:cs="宋体"/>
                <w:i w:val="0"/>
                <w:iCs w:val="0"/>
                <w:color w:val="000000"/>
                <w:kern w:val="2"/>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控制箱</w:t>
            </w:r>
          </w:p>
        </w:tc>
        <w:tc>
          <w:tcPr>
            <w:tcW w:w="831" w:type="pct"/>
            <w:tcBorders>
              <w:top w:val="nil"/>
              <w:left w:val="single" w:color="000000" w:sz="4" w:space="0"/>
              <w:bottom w:val="nil"/>
              <w:right w:val="single" w:color="000000" w:sz="4" w:space="0"/>
            </w:tcBorders>
            <w:shd w:val="clear" w:color="auto" w:fill="auto"/>
            <w:noWrap/>
            <w:vAlign w:val="center"/>
          </w:tcPr>
          <w:p w14:paraId="4CAEF70B">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nil"/>
              <w:left w:val="single" w:color="000000" w:sz="4" w:space="0"/>
              <w:bottom w:val="nil"/>
              <w:right w:val="single" w:color="000000" w:sz="4" w:space="0"/>
            </w:tcBorders>
            <w:shd w:val="clear" w:color="auto" w:fill="auto"/>
            <w:vAlign w:val="center"/>
          </w:tcPr>
          <w:p w14:paraId="245295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w:t>
            </w:r>
          </w:p>
        </w:tc>
        <w:tc>
          <w:tcPr>
            <w:tcW w:w="429" w:type="pct"/>
            <w:tcBorders>
              <w:top w:val="nil"/>
              <w:left w:val="single" w:color="000000" w:sz="4" w:space="0"/>
              <w:bottom w:val="nil"/>
              <w:right w:val="single" w:color="000000" w:sz="4" w:space="0"/>
            </w:tcBorders>
            <w:shd w:val="clear" w:color="auto" w:fill="auto"/>
            <w:vAlign w:val="center"/>
          </w:tcPr>
          <w:p w14:paraId="428589F0">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nil"/>
              <w:left w:val="single" w:color="000000" w:sz="4" w:space="0"/>
              <w:right w:val="single" w:color="000000" w:sz="8" w:space="0"/>
            </w:tcBorders>
            <w:shd w:val="clear" w:color="auto" w:fill="auto"/>
            <w:vAlign w:val="center"/>
          </w:tcPr>
          <w:p w14:paraId="34B3F6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控制箱带现场控制与联动控制切换。穿线管符合防爆要求。</w:t>
            </w:r>
          </w:p>
        </w:tc>
      </w:tr>
      <w:tr w14:paraId="7311B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715C606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17</w:t>
            </w:r>
          </w:p>
        </w:tc>
        <w:tc>
          <w:tcPr>
            <w:tcW w:w="927" w:type="pct"/>
            <w:vMerge w:val="continue"/>
            <w:tcBorders>
              <w:left w:val="single" w:color="000000" w:sz="4" w:space="0"/>
              <w:bottom w:val="single" w:color="000000" w:sz="4" w:space="0"/>
              <w:right w:val="single" w:color="000000" w:sz="4" w:space="0"/>
            </w:tcBorders>
            <w:shd w:val="clear" w:color="auto" w:fill="auto"/>
            <w:vAlign w:val="center"/>
          </w:tcPr>
          <w:p w14:paraId="212BAD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4F56665D">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cs="宋体"/>
                <w:i w:val="0"/>
                <w:iCs w:val="0"/>
                <w:color w:val="000000"/>
                <w:kern w:val="0"/>
                <w:sz w:val="24"/>
                <w:szCs w:val="24"/>
                <w:u w:val="none"/>
                <w:lang w:val="en-US" w:eastAsia="zh-CN" w:bidi="ar"/>
              </w:rPr>
              <w:t>镀锌</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50BA47C2">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14B33B5E">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60</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3B439E68">
            <w:pPr>
              <w:keepNext w:val="0"/>
              <w:keepLines w:val="0"/>
              <w:widowControl/>
              <w:suppressLineNumbers w:val="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left w:val="single" w:color="000000" w:sz="4" w:space="0"/>
              <w:bottom w:val="single" w:color="000000" w:sz="4" w:space="0"/>
              <w:right w:val="single" w:color="000000" w:sz="8" w:space="0"/>
            </w:tcBorders>
            <w:shd w:val="clear" w:color="auto" w:fill="auto"/>
            <w:vAlign w:val="center"/>
          </w:tcPr>
          <w:p w14:paraId="66FA70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14:paraId="550C0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6A41611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18</w:t>
            </w:r>
          </w:p>
        </w:tc>
        <w:tc>
          <w:tcPr>
            <w:tcW w:w="927" w:type="pct"/>
            <w:vMerge w:val="restart"/>
            <w:tcBorders>
              <w:top w:val="single" w:color="000000" w:sz="8" w:space="0"/>
              <w:left w:val="single" w:color="000000" w:sz="4" w:space="0"/>
              <w:right w:val="single" w:color="000000" w:sz="4" w:space="0"/>
            </w:tcBorders>
            <w:shd w:val="clear" w:color="auto" w:fill="auto"/>
            <w:vAlign w:val="center"/>
          </w:tcPr>
          <w:p w14:paraId="6BD4650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党家锅炉房</w:t>
            </w:r>
          </w:p>
        </w:tc>
        <w:tc>
          <w:tcPr>
            <w:tcW w:w="897" w:type="pct"/>
            <w:tcBorders>
              <w:top w:val="single" w:color="000000" w:sz="8" w:space="0"/>
              <w:left w:val="single" w:color="000000" w:sz="4" w:space="0"/>
              <w:bottom w:val="single" w:color="000000" w:sz="4" w:space="0"/>
              <w:right w:val="single" w:color="000000" w:sz="4" w:space="0"/>
            </w:tcBorders>
            <w:shd w:val="clear" w:color="auto" w:fill="auto"/>
            <w:vAlign w:val="center"/>
          </w:tcPr>
          <w:p w14:paraId="04F553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831" w:type="pct"/>
            <w:tcBorders>
              <w:top w:val="single" w:color="000000" w:sz="8" w:space="0"/>
              <w:left w:val="single" w:color="000000" w:sz="4" w:space="0"/>
              <w:bottom w:val="single" w:color="000000" w:sz="4" w:space="0"/>
              <w:right w:val="single" w:color="000000" w:sz="4" w:space="0"/>
            </w:tcBorders>
            <w:shd w:val="clear" w:color="auto" w:fill="auto"/>
            <w:noWrap/>
            <w:vAlign w:val="center"/>
          </w:tcPr>
          <w:p w14:paraId="396282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598" w:type="pct"/>
            <w:tcBorders>
              <w:top w:val="single" w:color="000000" w:sz="8" w:space="0"/>
              <w:left w:val="single" w:color="000000" w:sz="4" w:space="0"/>
              <w:bottom w:val="single" w:color="000000" w:sz="4" w:space="0"/>
              <w:right w:val="single" w:color="000000" w:sz="4" w:space="0"/>
            </w:tcBorders>
            <w:shd w:val="clear" w:color="auto" w:fill="auto"/>
            <w:vAlign w:val="center"/>
          </w:tcPr>
          <w:p w14:paraId="5023F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9" w:type="pct"/>
            <w:tcBorders>
              <w:top w:val="single" w:color="000000" w:sz="8" w:space="0"/>
              <w:left w:val="single" w:color="000000" w:sz="4" w:space="0"/>
              <w:bottom w:val="single" w:color="000000" w:sz="4" w:space="0"/>
              <w:right w:val="single" w:color="000000" w:sz="4" w:space="0"/>
            </w:tcBorders>
            <w:shd w:val="clear" w:color="auto" w:fill="auto"/>
            <w:vAlign w:val="center"/>
          </w:tcPr>
          <w:p w14:paraId="259E2A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986" w:type="pct"/>
            <w:vMerge w:val="restart"/>
            <w:tcBorders>
              <w:top w:val="single" w:color="000000" w:sz="8" w:space="0"/>
              <w:left w:val="single" w:color="000000" w:sz="4" w:space="0"/>
              <w:bottom w:val="single" w:color="000000" w:sz="4" w:space="0"/>
              <w:right w:val="single" w:color="000000" w:sz="8" w:space="0"/>
            </w:tcBorders>
            <w:shd w:val="clear" w:color="auto" w:fill="auto"/>
            <w:vAlign w:val="center"/>
          </w:tcPr>
          <w:p w14:paraId="00FC35D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控制箱带现场控制与联动控制切换，现场及值班室主机都可控制风机联动。穿线管符合防爆要求，</w:t>
            </w:r>
            <w:r>
              <w:rPr>
                <w:rFonts w:hint="eastAsia" w:ascii="宋体" w:hAnsi="宋体" w:cs="宋体"/>
                <w:i w:val="0"/>
                <w:iCs w:val="0"/>
                <w:color w:val="000000"/>
                <w:kern w:val="0"/>
                <w:sz w:val="24"/>
                <w:szCs w:val="24"/>
                <w:u w:val="none"/>
                <w:lang w:val="en-US" w:eastAsia="zh-CN" w:bidi="ar"/>
              </w:rPr>
              <w:t>并更换</w:t>
            </w:r>
            <w:r>
              <w:rPr>
                <w:rFonts w:hint="eastAsia" w:ascii="宋体" w:hAnsi="宋体" w:eastAsia="宋体" w:cs="宋体"/>
                <w:i w:val="0"/>
                <w:iCs w:val="0"/>
                <w:color w:val="000000"/>
                <w:kern w:val="0"/>
                <w:sz w:val="24"/>
                <w:szCs w:val="24"/>
                <w:u w:val="none"/>
                <w:lang w:val="en-US" w:eastAsia="zh-CN" w:bidi="ar"/>
              </w:rPr>
              <w:t>两个风机。</w:t>
            </w:r>
          </w:p>
        </w:tc>
      </w:tr>
      <w:tr w14:paraId="4965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0C9F6F3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19</w:t>
            </w:r>
          </w:p>
        </w:tc>
        <w:tc>
          <w:tcPr>
            <w:tcW w:w="927" w:type="pct"/>
            <w:vMerge w:val="continue"/>
            <w:tcBorders>
              <w:left w:val="single" w:color="000000" w:sz="4" w:space="0"/>
              <w:right w:val="single" w:color="000000" w:sz="4" w:space="0"/>
            </w:tcBorders>
            <w:shd w:val="clear" w:color="auto" w:fill="auto"/>
            <w:vAlign w:val="center"/>
          </w:tcPr>
          <w:p w14:paraId="7F8E84F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D08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3B3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6A0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93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5480EC7C">
            <w:pPr>
              <w:jc w:val="center"/>
              <w:rPr>
                <w:rFonts w:hint="eastAsia" w:ascii="宋体" w:hAnsi="宋体" w:eastAsia="宋体" w:cs="宋体"/>
                <w:i w:val="0"/>
                <w:iCs w:val="0"/>
                <w:color w:val="000000"/>
                <w:sz w:val="24"/>
                <w:szCs w:val="24"/>
                <w:u w:val="none"/>
              </w:rPr>
            </w:pPr>
          </w:p>
        </w:tc>
      </w:tr>
      <w:tr w14:paraId="68FAD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5" w:hRule="atLeast"/>
        </w:trPr>
        <w:tc>
          <w:tcPr>
            <w:tcW w:w="329" w:type="pct"/>
            <w:tcBorders>
              <w:top w:val="single" w:color="000000" w:sz="8" w:space="0"/>
              <w:left w:val="single" w:color="000000" w:sz="8" w:space="0"/>
              <w:bottom w:val="single" w:color="000000" w:sz="4" w:space="0"/>
              <w:right w:val="single" w:color="000000" w:sz="4" w:space="0"/>
            </w:tcBorders>
            <w:shd w:val="clear" w:color="auto" w:fill="auto"/>
            <w:vAlign w:val="center"/>
          </w:tcPr>
          <w:p w14:paraId="678EB47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20</w:t>
            </w:r>
          </w:p>
        </w:tc>
        <w:tc>
          <w:tcPr>
            <w:tcW w:w="927" w:type="pct"/>
            <w:vMerge w:val="continue"/>
            <w:tcBorders>
              <w:left w:val="single" w:color="000000" w:sz="4" w:space="0"/>
              <w:right w:val="single" w:color="000000" w:sz="4" w:space="0"/>
            </w:tcBorders>
            <w:shd w:val="clear" w:color="auto" w:fill="auto"/>
            <w:vAlign w:val="center"/>
          </w:tcPr>
          <w:p w14:paraId="4A9E38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1A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镀锌</w:t>
            </w:r>
            <w:r>
              <w:rPr>
                <w:rFonts w:hint="eastAsia" w:ascii="宋体" w:hAnsi="宋体" w:eastAsia="宋体" w:cs="宋体"/>
                <w:i w:val="0"/>
                <w:iCs w:val="0"/>
                <w:color w:val="000000"/>
                <w:kern w:val="0"/>
                <w:sz w:val="24"/>
                <w:szCs w:val="24"/>
                <w:u w:val="none"/>
                <w:lang w:val="en-US" w:eastAsia="zh-CN" w:bidi="ar"/>
              </w:rPr>
              <w:t>穿线管</w:t>
            </w:r>
          </w:p>
        </w:tc>
        <w:tc>
          <w:tcPr>
            <w:tcW w:w="8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8E4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5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54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4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E0B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6F7E4E1B">
            <w:pPr>
              <w:jc w:val="center"/>
              <w:rPr>
                <w:rFonts w:hint="eastAsia" w:ascii="宋体" w:hAnsi="宋体" w:eastAsia="宋体" w:cs="宋体"/>
                <w:i w:val="0"/>
                <w:iCs w:val="0"/>
                <w:color w:val="000000"/>
                <w:sz w:val="24"/>
                <w:szCs w:val="24"/>
                <w:u w:val="none"/>
              </w:rPr>
            </w:pPr>
          </w:p>
        </w:tc>
      </w:tr>
      <w:tr w14:paraId="765E6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329" w:type="pct"/>
            <w:tcBorders>
              <w:top w:val="single" w:color="000000" w:sz="4" w:space="0"/>
              <w:left w:val="single" w:color="000000" w:sz="8" w:space="0"/>
              <w:bottom w:val="single" w:color="000000" w:sz="4" w:space="0"/>
              <w:right w:val="single" w:color="000000" w:sz="4" w:space="0"/>
            </w:tcBorders>
            <w:shd w:val="clear" w:color="auto" w:fill="auto"/>
            <w:vAlign w:val="center"/>
          </w:tcPr>
          <w:p w14:paraId="1982A28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21</w:t>
            </w:r>
          </w:p>
        </w:tc>
        <w:tc>
          <w:tcPr>
            <w:tcW w:w="927" w:type="pct"/>
            <w:vMerge w:val="continue"/>
            <w:tcBorders>
              <w:left w:val="single" w:color="000000" w:sz="4" w:space="0"/>
              <w:bottom w:val="single" w:color="000000" w:sz="8" w:space="0"/>
              <w:right w:val="single" w:color="000000" w:sz="4" w:space="0"/>
            </w:tcBorders>
            <w:shd w:val="clear" w:color="auto" w:fill="auto"/>
            <w:vAlign w:val="center"/>
          </w:tcPr>
          <w:p w14:paraId="2030C67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897" w:type="pct"/>
            <w:tcBorders>
              <w:top w:val="single" w:color="000000" w:sz="4" w:space="0"/>
              <w:left w:val="single" w:color="000000" w:sz="4" w:space="0"/>
              <w:bottom w:val="single" w:color="000000" w:sz="8" w:space="0"/>
              <w:right w:val="single" w:color="000000" w:sz="4" w:space="0"/>
            </w:tcBorders>
            <w:shd w:val="clear" w:color="auto" w:fill="auto"/>
            <w:vAlign w:val="center"/>
          </w:tcPr>
          <w:p w14:paraId="1DFF3F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防爆</w:t>
            </w:r>
            <w:r>
              <w:rPr>
                <w:rFonts w:hint="eastAsia" w:ascii="宋体" w:hAnsi="宋体" w:eastAsia="宋体" w:cs="宋体"/>
                <w:i w:val="0"/>
                <w:iCs w:val="0"/>
                <w:color w:val="000000"/>
                <w:kern w:val="0"/>
                <w:sz w:val="24"/>
                <w:szCs w:val="24"/>
                <w:u w:val="none"/>
                <w:lang w:val="en-US" w:eastAsia="zh-CN" w:bidi="ar"/>
              </w:rPr>
              <w:t>排烟风机</w:t>
            </w:r>
          </w:p>
        </w:tc>
        <w:tc>
          <w:tcPr>
            <w:tcW w:w="831" w:type="pct"/>
            <w:tcBorders>
              <w:top w:val="single" w:color="000000" w:sz="4" w:space="0"/>
              <w:left w:val="single" w:color="000000" w:sz="4" w:space="0"/>
              <w:bottom w:val="single" w:color="000000" w:sz="8" w:space="0"/>
              <w:right w:val="single" w:color="000000" w:sz="4" w:space="0"/>
            </w:tcBorders>
            <w:shd w:val="clear" w:color="auto" w:fill="auto"/>
            <w:vAlign w:val="center"/>
          </w:tcPr>
          <w:p w14:paraId="25EB30FB">
            <w:pPr>
              <w:jc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sz w:val="24"/>
                <w:szCs w:val="24"/>
                <w:u w:val="none"/>
                <w:lang w:val="en-US" w:eastAsia="zh-CN"/>
              </w:rPr>
              <w:t>建议按现有尺寸更换</w:t>
            </w:r>
          </w:p>
        </w:tc>
        <w:tc>
          <w:tcPr>
            <w:tcW w:w="598" w:type="pct"/>
            <w:tcBorders>
              <w:top w:val="single" w:color="000000" w:sz="4" w:space="0"/>
              <w:left w:val="single" w:color="000000" w:sz="4" w:space="0"/>
              <w:bottom w:val="single" w:color="000000" w:sz="8" w:space="0"/>
              <w:right w:val="single" w:color="000000" w:sz="4" w:space="0"/>
            </w:tcBorders>
            <w:shd w:val="clear" w:color="auto" w:fill="auto"/>
            <w:vAlign w:val="center"/>
          </w:tcPr>
          <w:p w14:paraId="581765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29" w:type="pct"/>
            <w:tcBorders>
              <w:top w:val="single" w:color="000000" w:sz="4" w:space="0"/>
              <w:left w:val="single" w:color="000000" w:sz="4" w:space="0"/>
              <w:bottom w:val="single" w:color="000000" w:sz="8" w:space="0"/>
              <w:right w:val="single" w:color="000000" w:sz="4" w:space="0"/>
            </w:tcBorders>
            <w:shd w:val="clear" w:color="auto" w:fill="auto"/>
            <w:vAlign w:val="center"/>
          </w:tcPr>
          <w:p w14:paraId="6E43DB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986" w:type="pct"/>
            <w:vMerge w:val="continue"/>
            <w:tcBorders>
              <w:top w:val="single" w:color="000000" w:sz="8" w:space="0"/>
              <w:left w:val="single" w:color="000000" w:sz="4" w:space="0"/>
              <w:bottom w:val="single" w:color="000000" w:sz="4" w:space="0"/>
              <w:right w:val="single" w:color="000000" w:sz="8" w:space="0"/>
            </w:tcBorders>
            <w:shd w:val="clear" w:color="auto" w:fill="auto"/>
            <w:vAlign w:val="center"/>
          </w:tcPr>
          <w:p w14:paraId="740D084F">
            <w:pPr>
              <w:jc w:val="center"/>
              <w:rPr>
                <w:rFonts w:hint="eastAsia" w:ascii="宋体" w:hAnsi="宋体" w:eastAsia="宋体" w:cs="宋体"/>
                <w:i w:val="0"/>
                <w:iCs w:val="0"/>
                <w:color w:val="000000"/>
                <w:sz w:val="24"/>
                <w:szCs w:val="24"/>
                <w:u w:val="none"/>
              </w:rPr>
            </w:pPr>
          </w:p>
        </w:tc>
      </w:tr>
    </w:tbl>
    <w:p w14:paraId="29FF9AA6">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lang w:val="en-US" w:eastAsia="zh-CN"/>
        </w:rPr>
      </w:pPr>
      <w:r>
        <w:rPr>
          <w:rFonts w:hint="eastAsia" w:ascii="宋体" w:hAnsi="宋体" w:cs="宋体"/>
          <w:sz w:val="24"/>
          <w:szCs w:val="24"/>
          <w:lang w:val="en-US" w:eastAsia="zh-CN"/>
        </w:rPr>
        <w:t>注：以上设备材料优先使用市场占有率高的一线品牌，要求产品质量符合国家生产标准及相关法律法规。如发现产品质量不达标或不满足使用要求，招标方有权拒收，并索赔由此产生的一切相关损失。</w:t>
      </w:r>
    </w:p>
    <w:p w14:paraId="1FD82EA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lang w:val="zh-CN"/>
        </w:rPr>
      </w:pPr>
      <w:r>
        <w:rPr>
          <w:rFonts w:hint="eastAsia" w:ascii="宋体" w:hAnsi="宋体" w:cs="宋体"/>
          <w:sz w:val="24"/>
          <w:szCs w:val="24"/>
          <w:lang w:val="en-US" w:eastAsia="zh-CN"/>
        </w:rPr>
        <w:t>5、</w:t>
      </w:r>
      <w:r>
        <w:rPr>
          <w:rFonts w:hint="eastAsia" w:ascii="宋体" w:hAnsi="宋体" w:cs="宋体"/>
          <w:sz w:val="24"/>
          <w:szCs w:val="24"/>
          <w:lang w:val="zh-CN"/>
        </w:rPr>
        <w:t>根据</w:t>
      </w:r>
      <w:r>
        <w:rPr>
          <w:rFonts w:hint="eastAsia" w:ascii="宋体" w:hAnsi="宋体" w:cs="宋体"/>
          <w:sz w:val="24"/>
          <w:szCs w:val="24"/>
          <w:lang w:val="en-US" w:eastAsia="zh-CN"/>
        </w:rPr>
        <w:t>上述</w:t>
      </w:r>
      <w:r>
        <w:rPr>
          <w:rFonts w:hint="eastAsia" w:ascii="宋体" w:hAnsi="宋体" w:cs="宋体"/>
          <w:sz w:val="24"/>
          <w:szCs w:val="24"/>
          <w:lang w:val="zh-CN"/>
        </w:rPr>
        <w:t>内容，</w:t>
      </w:r>
      <w:r>
        <w:rPr>
          <w:rFonts w:hint="eastAsia" w:ascii="宋体" w:hAnsi="宋体" w:cs="宋体"/>
          <w:sz w:val="24"/>
          <w:szCs w:val="24"/>
          <w:lang w:val="en-US" w:eastAsia="zh-CN"/>
        </w:rPr>
        <w:t>提供详细的施工</w:t>
      </w:r>
      <w:r>
        <w:rPr>
          <w:rFonts w:hint="eastAsia" w:ascii="宋体" w:hAnsi="宋体" w:cs="宋体"/>
          <w:sz w:val="24"/>
          <w:szCs w:val="24"/>
          <w:lang w:val="zh-CN"/>
        </w:rPr>
        <w:t>方案，</w:t>
      </w:r>
      <w:r>
        <w:rPr>
          <w:rFonts w:hint="eastAsia" w:ascii="宋体" w:hAnsi="宋体" w:cs="宋体"/>
          <w:sz w:val="24"/>
          <w:szCs w:val="24"/>
          <w:lang w:val="en-US" w:eastAsia="zh-CN"/>
        </w:rPr>
        <w:t>消除事故排风系统未与气体报警器联锁的安全隐患</w:t>
      </w:r>
      <w:r>
        <w:rPr>
          <w:rFonts w:hint="eastAsia" w:ascii="宋体" w:hAnsi="宋体" w:cs="宋体"/>
          <w:sz w:val="24"/>
          <w:szCs w:val="24"/>
          <w:lang w:val="zh-CN"/>
        </w:rPr>
        <w:t>，符合《生产过程安全基本要求》（GB 12801-2025）、《工业建筑供暖通风与空气调节设计规范》（GB 50019-2015）相关要求。</w:t>
      </w:r>
    </w:p>
    <w:p w14:paraId="7D8334C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cs="宋体"/>
          <w:sz w:val="24"/>
          <w:szCs w:val="24"/>
          <w:lang w:val="en-US" w:eastAsia="zh-CN"/>
        </w:rPr>
      </w:pPr>
      <w:r>
        <w:rPr>
          <w:rFonts w:hint="eastAsia" w:ascii="宋体" w:hAnsi="宋体" w:cs="宋体"/>
          <w:sz w:val="24"/>
          <w:szCs w:val="24"/>
          <w:lang w:val="en-US" w:eastAsia="zh-CN"/>
        </w:rPr>
        <w:t>6、依据现场实施要求，对其拆除的旧件及材料，应</w:t>
      </w:r>
      <w:r>
        <w:rPr>
          <w:rFonts w:hint="eastAsia" w:ascii="宋体" w:hAnsi="宋体" w:cs="宋体"/>
          <w:sz w:val="24"/>
          <w:szCs w:val="24"/>
          <w:lang w:val="zh-CN" w:eastAsia="zh-CN"/>
        </w:rPr>
        <w:t>根据甲方现场人员</w:t>
      </w:r>
      <w:r>
        <w:rPr>
          <w:rFonts w:hint="eastAsia" w:ascii="宋体" w:hAnsi="宋体" w:cs="宋体"/>
          <w:sz w:val="24"/>
          <w:szCs w:val="24"/>
          <w:lang w:val="en-US" w:eastAsia="zh-CN"/>
        </w:rPr>
        <w:t>要求放置指定位置</w:t>
      </w:r>
      <w:r>
        <w:rPr>
          <w:rFonts w:hint="eastAsia" w:ascii="宋体" w:hAnsi="宋体" w:cs="宋体"/>
          <w:sz w:val="24"/>
          <w:szCs w:val="24"/>
          <w:lang w:val="zh-CN"/>
        </w:rPr>
        <w:t>；</w:t>
      </w:r>
      <w:r>
        <w:rPr>
          <w:rFonts w:hint="eastAsia" w:ascii="宋体" w:hAnsi="宋体" w:cs="宋体"/>
          <w:sz w:val="24"/>
          <w:szCs w:val="24"/>
          <w:lang w:val="en-US" w:eastAsia="zh-CN"/>
        </w:rPr>
        <w:t>拍照留存，做为验收依据。</w:t>
      </w:r>
    </w:p>
    <w:p w14:paraId="3CFF769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宋体" w:hAnsi="宋体" w:cs="宋体"/>
          <w:sz w:val="24"/>
          <w:szCs w:val="24"/>
          <w:lang w:val="en-US" w:eastAsia="zh-CN"/>
        </w:rPr>
      </w:pPr>
      <w:r>
        <w:rPr>
          <w:rFonts w:hint="eastAsia" w:ascii="宋体" w:hAnsi="宋体" w:cs="宋体"/>
          <w:sz w:val="24"/>
          <w:szCs w:val="24"/>
          <w:highlight w:val="none"/>
          <w:lang w:val="en-US" w:eastAsia="zh-CN"/>
        </w:rPr>
        <w:t>7、</w:t>
      </w:r>
      <w:r>
        <w:rPr>
          <w:rFonts w:hint="eastAsia" w:ascii="宋体" w:hAnsi="宋体" w:cs="宋体"/>
          <w:sz w:val="24"/>
          <w:szCs w:val="24"/>
          <w:lang w:val="en-US" w:eastAsia="zh-CN"/>
        </w:rPr>
        <w:t>施工</w:t>
      </w:r>
      <w:r>
        <w:rPr>
          <w:rFonts w:hint="eastAsia" w:ascii="宋体" w:hAnsi="宋体" w:cs="宋体"/>
          <w:sz w:val="24"/>
          <w:szCs w:val="24"/>
          <w:lang w:val="zh-CN" w:eastAsia="zh-CN"/>
        </w:rPr>
        <w:t>过程需要</w:t>
      </w:r>
      <w:r>
        <w:rPr>
          <w:rFonts w:hint="eastAsia" w:ascii="宋体" w:hAnsi="宋体" w:cs="宋体"/>
          <w:sz w:val="24"/>
          <w:szCs w:val="24"/>
          <w:lang w:val="en-US" w:eastAsia="zh-CN"/>
        </w:rPr>
        <w:t>各现场对隐蔽部分</w:t>
      </w:r>
      <w:r>
        <w:rPr>
          <w:rFonts w:hint="eastAsia" w:ascii="宋体" w:hAnsi="宋体" w:cs="宋体"/>
          <w:sz w:val="24"/>
          <w:szCs w:val="24"/>
          <w:lang w:val="zh-CN" w:eastAsia="zh-CN"/>
        </w:rPr>
        <w:t>进行拍照，做为验收依据</w:t>
      </w:r>
      <w:r>
        <w:rPr>
          <w:rFonts w:hint="eastAsia" w:ascii="宋体" w:hAnsi="宋体" w:cs="宋体"/>
          <w:sz w:val="24"/>
          <w:szCs w:val="24"/>
          <w:lang w:val="en-US" w:eastAsia="zh-CN"/>
        </w:rPr>
        <w:t>。</w:t>
      </w:r>
    </w:p>
    <w:p w14:paraId="258E698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lang w:val="en-US" w:eastAsia="zh-CN"/>
        </w:rPr>
      </w:pPr>
      <w:r>
        <w:rPr>
          <w:rFonts w:hint="eastAsia" w:ascii="宋体" w:hAnsi="宋体" w:cs="宋体"/>
          <w:sz w:val="24"/>
          <w:szCs w:val="24"/>
          <w:highlight w:val="none"/>
          <w:lang w:val="en-US" w:eastAsia="zh-CN"/>
        </w:rPr>
        <w:t>8、根据施工明细，提供报价分</w:t>
      </w:r>
      <w:r>
        <w:rPr>
          <w:rFonts w:hint="eastAsia" w:ascii="宋体" w:hAnsi="宋体" w:cs="宋体"/>
          <w:sz w:val="24"/>
          <w:szCs w:val="24"/>
          <w:lang w:val="en-US" w:eastAsia="zh-CN"/>
        </w:rPr>
        <w:t>解表，并注明单价、数量、价格。</w:t>
      </w:r>
    </w:p>
    <w:p w14:paraId="0345CF7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cs="宋体"/>
          <w:sz w:val="24"/>
          <w:szCs w:val="24"/>
          <w:lang w:val="zh-CN"/>
        </w:rPr>
      </w:pPr>
      <w:r>
        <w:rPr>
          <w:rFonts w:hint="eastAsia" w:ascii="宋体" w:hAnsi="宋体" w:cs="宋体"/>
          <w:sz w:val="24"/>
          <w:szCs w:val="24"/>
          <w:lang w:val="en-US" w:eastAsia="zh-CN"/>
        </w:rPr>
        <w:t>9、此项目为交钥匙工程，</w:t>
      </w:r>
      <w:r>
        <w:rPr>
          <w:rFonts w:hint="eastAsia" w:ascii="宋体" w:hAnsi="宋体" w:cs="宋体"/>
          <w:sz w:val="24"/>
          <w:szCs w:val="24"/>
          <w:lang w:val="zh-CN"/>
        </w:rPr>
        <w:t>投标方承担所有材料、运输、人工等费用（</w:t>
      </w:r>
      <w:r>
        <w:rPr>
          <w:rFonts w:hint="eastAsia" w:ascii="宋体" w:hAnsi="宋体" w:cs="宋体"/>
          <w:sz w:val="24"/>
          <w:szCs w:val="24"/>
          <w:lang w:val="en-US" w:eastAsia="zh-CN"/>
        </w:rPr>
        <w:t>除甲供材材料）</w:t>
      </w:r>
      <w:r>
        <w:rPr>
          <w:rFonts w:hint="eastAsia" w:ascii="宋体" w:hAnsi="宋体" w:cs="宋体"/>
          <w:sz w:val="24"/>
          <w:szCs w:val="24"/>
          <w:lang w:val="zh-CN"/>
        </w:rPr>
        <w:t>。</w:t>
      </w:r>
    </w:p>
    <w:p w14:paraId="1D90E455">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sz w:val="24"/>
          <w:highlight w:val="none"/>
        </w:rPr>
      </w:pPr>
      <w:r>
        <w:rPr>
          <w:rFonts w:hint="eastAsia" w:ascii="宋体" w:hAnsi="宋体" w:cs="宋体"/>
          <w:sz w:val="24"/>
          <w:szCs w:val="24"/>
          <w:lang w:val="en-US" w:eastAsia="zh-CN"/>
        </w:rPr>
        <w:t>10、安全环保</w:t>
      </w:r>
      <w:r>
        <w:rPr>
          <w:rFonts w:hint="eastAsia" w:ascii="宋体" w:hAnsi="宋体" w:cs="宋体"/>
          <w:sz w:val="24"/>
          <w:szCs w:val="24"/>
          <w:lang w:val="en-US" w:eastAsia="zh-CN"/>
        </w:rPr>
        <w:br w:type="textWrapping"/>
      </w:r>
      <w:r>
        <w:rPr>
          <w:rFonts w:hint="eastAsia" w:ascii="宋体" w:hAnsi="宋体" w:cs="宋体"/>
          <w:sz w:val="24"/>
          <w:szCs w:val="24"/>
          <w:lang w:val="en-US" w:eastAsia="zh-CN"/>
        </w:rPr>
        <w:t>10.</w:t>
      </w:r>
      <w:bookmarkStart w:id="16" w:name="_Toc62482962"/>
      <w:r>
        <w:rPr>
          <w:rFonts w:hint="eastAsia" w:ascii="宋体" w:hAnsi="宋体" w:cs="宋体"/>
          <w:sz w:val="24"/>
          <w:szCs w:val="24"/>
          <w:lang w:val="en-US" w:eastAsia="zh-CN"/>
        </w:rPr>
        <w:t>1</w:t>
      </w:r>
      <w:r>
        <w:rPr>
          <w:rFonts w:hint="eastAsia" w:ascii="宋体" w:hAnsi="宋体"/>
          <w:sz w:val="24"/>
          <w:highlight w:val="none"/>
        </w:rPr>
        <w:t>一般性要求：对人的安全、防护、辐射等劳动保护条款符合国国家的行业相关标准，并且不得与招标方国家的行业标准相冲突；</w:t>
      </w:r>
    </w:p>
    <w:p w14:paraId="58F32B0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cs="宋体"/>
          <w:sz w:val="24"/>
          <w:szCs w:val="24"/>
          <w:lang w:val="zh-CN" w:eastAsia="zh-CN"/>
        </w:rPr>
      </w:pPr>
      <w:r>
        <w:rPr>
          <w:rFonts w:hint="eastAsia" w:ascii="宋体" w:hAnsi="宋体"/>
          <w:b w:val="0"/>
          <w:bCs w:val="0"/>
          <w:sz w:val="24"/>
          <w:highlight w:val="none"/>
          <w:lang w:val="en-US" w:eastAsia="zh-CN"/>
        </w:rPr>
        <w:t>10.2</w:t>
      </w:r>
      <w:r>
        <w:rPr>
          <w:rFonts w:hint="eastAsia" w:ascii="宋体" w:hAnsi="宋体" w:cs="宋体"/>
          <w:sz w:val="24"/>
          <w:szCs w:val="24"/>
          <w:lang w:val="en-US" w:eastAsia="zh-CN"/>
        </w:rPr>
        <w:t>施工材料</w:t>
      </w:r>
      <w:r>
        <w:rPr>
          <w:rFonts w:hint="eastAsia" w:ascii="宋体" w:hAnsi="宋体" w:cs="宋体"/>
          <w:sz w:val="24"/>
          <w:szCs w:val="24"/>
          <w:lang w:val="zh-CN"/>
        </w:rPr>
        <w:t>集中存放到指定位置，不能</w:t>
      </w:r>
      <w:r>
        <w:rPr>
          <w:rFonts w:hint="eastAsia" w:ascii="宋体" w:hAnsi="宋体" w:cs="宋体"/>
          <w:sz w:val="24"/>
          <w:szCs w:val="24"/>
          <w:lang w:val="en-US" w:eastAsia="zh-CN"/>
        </w:rPr>
        <w:t>影响正常生产，</w:t>
      </w:r>
      <w:r>
        <w:rPr>
          <w:rFonts w:hint="eastAsia" w:ascii="宋体" w:hAnsi="宋体" w:cs="宋体"/>
          <w:sz w:val="24"/>
          <w:szCs w:val="24"/>
          <w:lang w:val="zh-CN"/>
        </w:rPr>
        <w:t>采用隔栏或围墙的形式将施工区域隔开</w:t>
      </w:r>
      <w:r>
        <w:rPr>
          <w:rFonts w:hint="eastAsia" w:ascii="宋体" w:hAnsi="宋体" w:cs="宋体"/>
          <w:sz w:val="24"/>
          <w:szCs w:val="24"/>
          <w:lang w:val="zh-CN" w:eastAsia="zh-CN"/>
        </w:rPr>
        <w:t>；</w:t>
      </w:r>
    </w:p>
    <w:p w14:paraId="77388D10">
      <w:pPr>
        <w:numPr>
          <w:ilvl w:val="0"/>
          <w:numId w:val="0"/>
        </w:numPr>
        <w:tabs>
          <w:tab w:val="left" w:pos="640"/>
        </w:tabs>
        <w:spacing w:line="360" w:lineRule="auto"/>
        <w:rPr>
          <w:rFonts w:hint="eastAsia" w:ascii="宋体" w:hAnsi="宋体"/>
          <w:b w:val="0"/>
          <w:bCs w:val="0"/>
          <w:sz w:val="24"/>
          <w:highlight w:val="none"/>
        </w:rPr>
      </w:pPr>
      <w:r>
        <w:rPr>
          <w:rFonts w:hint="eastAsia" w:ascii="宋体" w:hAnsi="宋体"/>
          <w:b w:val="0"/>
          <w:bCs w:val="0"/>
          <w:sz w:val="24"/>
          <w:highlight w:val="none"/>
          <w:lang w:val="en-US" w:eastAsia="zh-CN"/>
        </w:rPr>
        <w:t>10.3</w:t>
      </w:r>
      <w:r>
        <w:rPr>
          <w:rFonts w:hint="eastAsia" w:ascii="宋体" w:hAnsi="宋体"/>
          <w:b w:val="0"/>
          <w:bCs w:val="0"/>
          <w:sz w:val="24"/>
          <w:highlight w:val="none"/>
        </w:rPr>
        <w:t>材料搬运，需根据材料的体积、重量，组织适当的劳动力；</w:t>
      </w:r>
    </w:p>
    <w:p w14:paraId="38F281D4">
      <w:pPr>
        <w:numPr>
          <w:ilvl w:val="0"/>
          <w:numId w:val="0"/>
        </w:numPr>
        <w:tabs>
          <w:tab w:val="left" w:pos="640"/>
        </w:tabs>
        <w:spacing w:line="360" w:lineRule="auto"/>
        <w:rPr>
          <w:rFonts w:hint="eastAsia" w:ascii="宋体" w:hAnsi="宋体"/>
          <w:b w:val="0"/>
          <w:bCs w:val="0"/>
          <w:sz w:val="24"/>
          <w:highlight w:val="none"/>
        </w:rPr>
      </w:pPr>
      <w:r>
        <w:rPr>
          <w:rFonts w:hint="eastAsia" w:ascii="宋体" w:hAnsi="宋体"/>
          <w:b w:val="0"/>
          <w:bCs w:val="0"/>
          <w:sz w:val="24"/>
          <w:highlight w:val="none"/>
          <w:lang w:val="en-US" w:eastAsia="zh-CN"/>
        </w:rPr>
        <w:t>10.4</w:t>
      </w:r>
      <w:r>
        <w:rPr>
          <w:rFonts w:hint="eastAsia" w:ascii="宋体" w:hAnsi="宋体"/>
          <w:b w:val="0"/>
          <w:bCs w:val="0"/>
          <w:sz w:val="24"/>
          <w:highlight w:val="none"/>
        </w:rPr>
        <w:t>现场作业人员应具有相关行业作业证书。电工作业人员必须具有在有效期内的高、低压电工作业证书、登高作业人员必须具有在有效期内的登高作业证书；</w:t>
      </w:r>
    </w:p>
    <w:p w14:paraId="38D1CC03">
      <w:pPr>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ascii="宋体" w:hAnsi="宋体"/>
          <w:b w:val="0"/>
          <w:bCs w:val="0"/>
          <w:sz w:val="24"/>
          <w:highlight w:val="none"/>
        </w:rPr>
      </w:pPr>
      <w:r>
        <w:rPr>
          <w:rFonts w:hint="eastAsia" w:ascii="宋体" w:hAnsi="宋体"/>
          <w:b w:val="0"/>
          <w:bCs w:val="0"/>
          <w:sz w:val="24"/>
          <w:highlight w:val="none"/>
          <w:lang w:val="en-US" w:eastAsia="zh-CN"/>
        </w:rPr>
        <w:t>10.5</w:t>
      </w:r>
      <w:r>
        <w:rPr>
          <w:rFonts w:hint="eastAsia" w:ascii="宋体" w:hAnsi="宋体"/>
          <w:b w:val="0"/>
          <w:bCs w:val="0"/>
          <w:sz w:val="24"/>
          <w:highlight w:val="none"/>
        </w:rPr>
        <w:t>维修作业前</w:t>
      </w:r>
      <w:r>
        <w:rPr>
          <w:rFonts w:hint="eastAsia" w:ascii="宋体" w:hAnsi="宋体" w:cs="宋体"/>
          <w:sz w:val="24"/>
          <w:szCs w:val="24"/>
          <w:lang w:val="en-US" w:eastAsia="zh-CN"/>
        </w:rPr>
        <w:t>办理相关的施工手续，施工前进行安全技术交底。做好安全防护。</w:t>
      </w:r>
      <w:r>
        <w:rPr>
          <w:rFonts w:hint="eastAsia" w:ascii="宋体" w:hAnsi="宋体"/>
          <w:b w:val="0"/>
          <w:bCs w:val="0"/>
          <w:sz w:val="24"/>
          <w:highlight w:val="none"/>
        </w:rPr>
        <w:t>现场作业人员进入现场必须穿劳保鞋、登高作业佩戴安全帽；</w:t>
      </w:r>
    </w:p>
    <w:p w14:paraId="24934C4A">
      <w:pPr>
        <w:numPr>
          <w:ilvl w:val="0"/>
          <w:numId w:val="0"/>
        </w:numPr>
        <w:tabs>
          <w:tab w:val="left" w:pos="640"/>
        </w:tabs>
        <w:spacing w:line="360" w:lineRule="auto"/>
        <w:rPr>
          <w:rFonts w:hint="eastAsia" w:ascii="宋体" w:hAnsi="宋体"/>
          <w:b w:val="0"/>
          <w:bCs w:val="0"/>
          <w:sz w:val="24"/>
          <w:highlight w:val="none"/>
          <w:lang w:eastAsia="zh-CN"/>
        </w:rPr>
      </w:pPr>
      <w:r>
        <w:rPr>
          <w:rFonts w:hint="eastAsia" w:ascii="宋体" w:hAnsi="宋体"/>
          <w:b w:val="0"/>
          <w:bCs w:val="0"/>
          <w:sz w:val="24"/>
          <w:highlight w:val="none"/>
          <w:lang w:val="en-US" w:eastAsia="zh-CN"/>
        </w:rPr>
        <w:t>10.6</w:t>
      </w:r>
      <w:r>
        <w:rPr>
          <w:rFonts w:hint="eastAsia" w:ascii="宋体" w:hAnsi="宋体"/>
          <w:b w:val="0"/>
          <w:bCs w:val="0"/>
          <w:sz w:val="24"/>
          <w:highlight w:val="none"/>
        </w:rPr>
        <w:t>现场施工要充分考虑防尘问题，施工过程中不能造成设备和周围环境尘土飞扬的情况</w:t>
      </w:r>
      <w:r>
        <w:rPr>
          <w:rFonts w:hint="eastAsia" w:ascii="宋体" w:hAnsi="宋体"/>
          <w:b w:val="0"/>
          <w:bCs w:val="0"/>
          <w:sz w:val="24"/>
          <w:highlight w:val="none"/>
          <w:lang w:eastAsia="zh-CN"/>
        </w:rPr>
        <w:t>。</w:t>
      </w:r>
    </w:p>
    <w:p w14:paraId="1D7BF962">
      <w:pPr>
        <w:pStyle w:val="70"/>
        <w:numPr>
          <w:ilvl w:val="0"/>
          <w:numId w:val="10"/>
        </w:numPr>
        <w:ind w:left="0" w:leftChars="0" w:firstLine="0" w:firstLineChars="0"/>
        <w:rPr>
          <w:rFonts w:hint="eastAsia" w:ascii="黑体" w:hAnsi="Courier New" w:eastAsia="黑体" w:cs="Times New Roman"/>
          <w:b/>
          <w:bCs/>
          <w:kern w:val="2"/>
          <w:sz w:val="28"/>
          <w:lang w:val="en-US" w:eastAsia="zh-CN" w:bidi="ar-SA"/>
        </w:rPr>
      </w:pPr>
      <w:r>
        <w:rPr>
          <w:rFonts w:hint="eastAsia" w:ascii="黑体" w:hAnsi="Courier New" w:eastAsia="黑体" w:cs="Times New Roman"/>
          <w:b/>
          <w:bCs/>
          <w:kern w:val="2"/>
          <w:sz w:val="28"/>
          <w:lang w:val="en-US" w:eastAsia="zh-CN" w:bidi="ar-SA"/>
        </w:rPr>
        <w:t>质量要求</w:t>
      </w:r>
    </w:p>
    <w:p w14:paraId="5EA99FB6">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eastAsia" w:ascii="宋体" w:hAnsi="宋体"/>
          <w:sz w:val="24"/>
          <w:highlight w:val="none"/>
        </w:rPr>
      </w:pPr>
      <w:r>
        <w:rPr>
          <w:rFonts w:hint="eastAsia" w:ascii="宋体" w:hAnsi="宋体"/>
          <w:sz w:val="24"/>
          <w:highlight w:val="none"/>
          <w:lang w:val="en-US" w:eastAsia="zh-CN"/>
        </w:rPr>
        <w:t>1、</w:t>
      </w:r>
      <w:r>
        <w:rPr>
          <w:rFonts w:hint="eastAsia" w:ascii="宋体" w:hAnsi="宋体"/>
          <w:sz w:val="24"/>
          <w:highlight w:val="none"/>
        </w:rPr>
        <w:t xml:space="preserve">全部供货范围内的产品：设备、材料等，除合同特别约定外，其质保期均自终验收签字生效之日起 </w:t>
      </w:r>
      <w:r>
        <w:rPr>
          <w:rFonts w:hint="eastAsia" w:ascii="宋体" w:hAnsi="宋体"/>
          <w:sz w:val="24"/>
          <w:highlight w:val="none"/>
          <w:u w:val="single"/>
        </w:rPr>
        <w:t xml:space="preserve"> </w:t>
      </w:r>
      <w:r>
        <w:rPr>
          <w:rFonts w:hint="eastAsia" w:ascii="宋体" w:hAnsi="宋体"/>
          <w:sz w:val="24"/>
          <w:highlight w:val="none"/>
          <w:u w:val="single"/>
          <w:lang w:val="en-US" w:eastAsia="zh-CN"/>
        </w:rPr>
        <w:t>一</w:t>
      </w:r>
      <w:r>
        <w:rPr>
          <w:rFonts w:hint="eastAsia" w:ascii="宋体" w:hAnsi="宋体"/>
          <w:sz w:val="24"/>
          <w:highlight w:val="none"/>
          <w:u w:val="single"/>
        </w:rPr>
        <w:t xml:space="preserve"> </w:t>
      </w:r>
      <w:r>
        <w:rPr>
          <w:rFonts w:hint="eastAsia" w:ascii="宋体" w:hAnsi="宋体"/>
          <w:sz w:val="24"/>
          <w:highlight w:val="none"/>
        </w:rPr>
        <w:t>年。</w:t>
      </w:r>
    </w:p>
    <w:p w14:paraId="613D5D9B">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投标货物产品及施工工艺，如果有更长时间质保期，允许更改并说明，此将有利于投标方。</w:t>
      </w:r>
    </w:p>
    <w:p w14:paraId="16395A25">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设计使用寿命短于质保期的易损件除外，但属于易损件的，应当有明确说明。</w:t>
      </w:r>
    </w:p>
    <w:p w14:paraId="09E848AF">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质保期之内，如果施工某处或者多处发生开焊、脱漆等现象或其他维修行为，则质保期自更换或维修行为结束、设备重新正常运行使用之日起重新计算。</w:t>
      </w:r>
    </w:p>
    <w:p w14:paraId="4151FE7D">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eastAsia" w:ascii="宋体" w:hAnsi="宋体"/>
          <w:sz w:val="24"/>
          <w:highlight w:val="none"/>
        </w:rPr>
      </w:pPr>
      <w:r>
        <w:rPr>
          <w:rFonts w:hint="eastAsia" w:ascii="宋体" w:hAnsi="宋体"/>
          <w:sz w:val="24"/>
          <w:highlight w:val="none"/>
          <w:lang w:val="en-US" w:eastAsia="zh-CN"/>
        </w:rPr>
        <w:t>5、</w:t>
      </w:r>
      <w:r>
        <w:rPr>
          <w:rFonts w:hint="eastAsia" w:ascii="宋体" w:hAnsi="宋体"/>
          <w:sz w:val="24"/>
          <w:highlight w:val="none"/>
        </w:rPr>
        <w:t>质保期内免费提供附件、和及时有效的服务。质保期内因本身缺陷造成的各种故障，投标方应负责免费维修和服务。</w:t>
      </w:r>
    </w:p>
    <w:p w14:paraId="651E827C">
      <w:pPr>
        <w:keepNext w:val="0"/>
        <w:keepLines w:val="0"/>
        <w:pageBreakBefore w:val="0"/>
        <w:widowControl w:val="0"/>
        <w:numPr>
          <w:ilvl w:val="0"/>
          <w:numId w:val="0"/>
        </w:numPr>
        <w:tabs>
          <w:tab w:val="left" w:pos="640"/>
        </w:tabs>
        <w:kinsoku/>
        <w:wordWrap/>
        <w:overflowPunct/>
        <w:topLinePunct w:val="0"/>
        <w:autoSpaceDE/>
        <w:autoSpaceDN/>
        <w:bidi w:val="0"/>
        <w:adjustRightInd/>
        <w:snapToGrid/>
        <w:spacing w:line="360" w:lineRule="auto"/>
        <w:textAlignment w:val="auto"/>
        <w:rPr>
          <w:rFonts w:hint="default" w:eastAsia="宋体"/>
          <w:lang w:val="en-US" w:eastAsia="zh-CN"/>
        </w:rPr>
      </w:pPr>
      <w:r>
        <w:rPr>
          <w:rFonts w:hint="eastAsia" w:ascii="宋体" w:hAnsi="宋体"/>
          <w:sz w:val="24"/>
          <w:highlight w:val="none"/>
          <w:lang w:val="en-US" w:eastAsia="zh-CN"/>
        </w:rPr>
        <w:t>6、</w:t>
      </w:r>
      <w:r>
        <w:rPr>
          <w:rFonts w:hint="eastAsia" w:ascii="宋体" w:hAnsi="宋体"/>
          <w:sz w:val="24"/>
          <w:highlight w:val="none"/>
        </w:rPr>
        <w:t>质保期终止之日起</w:t>
      </w:r>
      <w:r>
        <w:rPr>
          <w:rFonts w:hint="eastAsia" w:ascii="宋体" w:hAnsi="宋体"/>
          <w:sz w:val="24"/>
          <w:highlight w:val="none"/>
          <w:lang w:val="en-US" w:eastAsia="zh-CN"/>
        </w:rPr>
        <w:t>一</w:t>
      </w:r>
      <w:r>
        <w:rPr>
          <w:rFonts w:hint="eastAsia" w:ascii="宋体" w:hAnsi="宋体"/>
          <w:sz w:val="24"/>
          <w:highlight w:val="none"/>
        </w:rPr>
        <w:t>年内重复出现的质保期之内出现的故障，仍属质保范围而且应当免费。</w:t>
      </w:r>
    </w:p>
    <w:bookmarkEnd w:id="16"/>
    <w:p w14:paraId="73E1D03B">
      <w:pPr>
        <w:pStyle w:val="7"/>
        <w:spacing w:line="360" w:lineRule="auto"/>
        <w:outlineLvl w:val="1"/>
        <w:rPr>
          <w:rFonts w:hint="eastAsia" w:ascii="黑体" w:eastAsia="黑体"/>
          <w:b/>
          <w:bCs/>
          <w:sz w:val="28"/>
        </w:rPr>
      </w:pPr>
      <w:r>
        <w:rPr>
          <w:rFonts w:hint="eastAsia" w:ascii="黑体" w:eastAsia="黑体"/>
          <w:b/>
          <w:bCs/>
          <w:sz w:val="28"/>
          <w:lang w:val="en-US" w:eastAsia="zh-CN"/>
        </w:rPr>
        <w:t>七、</w:t>
      </w:r>
      <w:r>
        <w:rPr>
          <w:rFonts w:hint="eastAsia" w:ascii="黑体" w:eastAsia="黑体"/>
          <w:b/>
          <w:bCs/>
          <w:sz w:val="28"/>
        </w:rPr>
        <w:t>验收要求</w:t>
      </w:r>
    </w:p>
    <w:p w14:paraId="2BF80A16">
      <w:pPr>
        <w:keepNext w:val="0"/>
        <w:keepLines w:val="0"/>
        <w:pageBreakBefore w:val="0"/>
        <w:widowControl w:val="0"/>
        <w:kinsoku/>
        <w:wordWrap/>
        <w:overflowPunct/>
        <w:topLinePunct w:val="0"/>
        <w:autoSpaceDE/>
        <w:autoSpaceDN/>
        <w:bidi w:val="0"/>
        <w:adjustRightInd/>
        <w:snapToGrid/>
        <w:spacing w:line="480" w:lineRule="exact"/>
        <w:ind w:right="278"/>
        <w:jc w:val="both"/>
        <w:textAlignment w:val="auto"/>
        <w:rPr>
          <w:rFonts w:hint="eastAsia" w:ascii="宋体" w:hAnsi="宋体" w:eastAsia="宋体" w:cs="宋体"/>
          <w:kern w:val="2"/>
          <w:sz w:val="24"/>
          <w:szCs w:val="24"/>
          <w:lang w:val="en-US" w:eastAsia="zh-CN" w:bidi="ar-SA"/>
        </w:rPr>
      </w:pPr>
      <w:bookmarkStart w:id="17" w:name="_Toc44077705"/>
      <w:bookmarkStart w:id="18" w:name="_Toc47031022"/>
      <w:bookmarkStart w:id="19" w:name="_Toc44077654"/>
      <w:r>
        <w:rPr>
          <w:rFonts w:hint="eastAsia" w:ascii="宋体" w:hAnsi="宋体" w:eastAsia="宋体" w:cs="宋体"/>
          <w:kern w:val="2"/>
          <w:sz w:val="24"/>
          <w:szCs w:val="24"/>
          <w:lang w:val="en-US" w:eastAsia="zh-CN" w:bidi="ar-SA"/>
        </w:rPr>
        <w:t>（一）验收及评价方法</w:t>
      </w:r>
    </w:p>
    <w:bookmarkEnd w:id="17"/>
    <w:bookmarkEnd w:id="18"/>
    <w:bookmarkEnd w:id="19"/>
    <w:p w14:paraId="5E3CCDCA">
      <w:pPr>
        <w:numPr>
          <w:ilvl w:val="0"/>
          <w:numId w:val="0"/>
        </w:numPr>
        <w:spacing w:line="360" w:lineRule="auto"/>
        <w:rPr>
          <w:rFonts w:hint="eastAsia"/>
          <w:sz w:val="24"/>
          <w:highlight w:val="none"/>
          <w:lang w:val="en-US" w:eastAsia="zh-CN"/>
        </w:rPr>
      </w:pPr>
      <w:r>
        <w:rPr>
          <w:rFonts w:hint="eastAsia" w:ascii="宋体" w:hAnsi="宋体" w:eastAsia="宋体" w:cs="宋体"/>
          <w:kern w:val="2"/>
          <w:sz w:val="24"/>
          <w:szCs w:val="24"/>
          <w:lang w:val="en-US" w:eastAsia="zh-CN" w:bidi="ar-SA"/>
        </w:rPr>
        <w:t>验收通过标准：</w:t>
      </w:r>
      <w:r>
        <w:rPr>
          <w:rFonts w:hint="eastAsia" w:ascii="宋体" w:hAnsi="宋体" w:cs="宋体"/>
          <w:kern w:val="2"/>
          <w:sz w:val="24"/>
          <w:szCs w:val="24"/>
          <w:lang w:val="en-US" w:eastAsia="zh-CN" w:bidi="ar-SA"/>
        </w:rPr>
        <w:t>确保12处</w:t>
      </w:r>
      <w:r>
        <w:rPr>
          <w:rFonts w:hint="eastAsia" w:ascii="宋体" w:hAnsi="宋体" w:eastAsia="宋体" w:cs="宋体"/>
          <w:kern w:val="2"/>
          <w:sz w:val="24"/>
          <w:szCs w:val="24"/>
          <w:lang w:val="en-US" w:eastAsia="zh-CN" w:bidi="ar-SA"/>
        </w:rPr>
        <w:t>事故排风系统与气体报警器联锁</w:t>
      </w:r>
      <w:r>
        <w:rPr>
          <w:rFonts w:hint="eastAsia"/>
          <w:sz w:val="24"/>
          <w:highlight w:val="none"/>
          <w:lang w:val="en-US" w:eastAsia="zh-CN"/>
        </w:rPr>
        <w:t>运转，符合《生产过程安全基本要求》（GB 12801-2025）、《工业建筑供暖通风与空气调节设计规范》（GB 50019-2015）相关要求。</w:t>
      </w:r>
    </w:p>
    <w:p w14:paraId="3A05F309">
      <w:pPr>
        <w:pStyle w:val="7"/>
        <w:spacing w:line="360" w:lineRule="auto"/>
        <w:outlineLvl w:val="1"/>
        <w:rPr>
          <w:rFonts w:hint="eastAsia" w:ascii="黑体" w:hAnsi="Courier New" w:eastAsia="黑体" w:cs="Times New Roman"/>
          <w:b/>
          <w:bCs/>
          <w:sz w:val="28"/>
        </w:rPr>
      </w:pPr>
      <w:r>
        <w:rPr>
          <w:rFonts w:hint="eastAsia" w:ascii="黑体" w:eastAsia="黑体" w:cs="Times New Roman"/>
          <w:b/>
          <w:bCs/>
          <w:sz w:val="28"/>
          <w:lang w:val="en-US" w:eastAsia="zh-CN"/>
        </w:rPr>
        <w:t>八</w:t>
      </w:r>
      <w:r>
        <w:rPr>
          <w:rFonts w:hint="eastAsia" w:ascii="黑体" w:hAnsi="Courier New" w:eastAsia="黑体" w:cs="Times New Roman"/>
          <w:b/>
          <w:bCs/>
          <w:sz w:val="28"/>
        </w:rPr>
        <w:t>、服务期限</w:t>
      </w:r>
    </w:p>
    <w:bookmarkEnd w:id="12"/>
    <w:p w14:paraId="6FE75B04">
      <w:pPr>
        <w:spacing w:before="50" w:line="360" w:lineRule="auto"/>
        <w:rPr>
          <w:rFonts w:hint="eastAsia" w:ascii="宋体" w:hAnsi="宋体" w:cs="宋体"/>
          <w:kern w:val="2"/>
          <w:sz w:val="24"/>
          <w:szCs w:val="24"/>
          <w:lang w:val="en-US" w:eastAsia="zh-CN" w:bidi="ar-SA"/>
        </w:rPr>
      </w:pPr>
      <w:r>
        <w:rPr>
          <w:rFonts w:hint="eastAsia" w:ascii="Arial" w:hAnsi="Arial"/>
          <w:spacing w:val="4"/>
          <w:lang w:val="en-US" w:eastAsia="zh-CN"/>
        </w:rPr>
        <w:t>1、</w:t>
      </w:r>
      <w:r>
        <w:rPr>
          <w:rFonts w:hint="eastAsia" w:ascii="Arial" w:hAnsi="Arial"/>
          <w:spacing w:val="4"/>
        </w:rPr>
        <w:t>总工期为：</w:t>
      </w:r>
      <w:r>
        <w:rPr>
          <w:rFonts w:hint="eastAsia" w:ascii="Arial" w:hAnsi="Arial"/>
          <w:spacing w:val="4"/>
          <w:lang w:val="en-US" w:eastAsia="zh-CN"/>
        </w:rPr>
        <w:t>30</w:t>
      </w:r>
      <w:r>
        <w:rPr>
          <w:rFonts w:hint="eastAsia" w:ascii="Arial" w:hAnsi="Arial"/>
          <w:spacing w:val="4"/>
        </w:rPr>
        <w:t>个日历日内完工。</w:t>
      </w:r>
      <w:r>
        <w:rPr>
          <w:rFonts w:hint="eastAsia" w:ascii="Arial" w:hAnsi="Arial"/>
          <w:spacing w:val="4"/>
        </w:rPr>
        <w:br w:type="textWrapping"/>
      </w:r>
      <w:r>
        <w:rPr>
          <w:rFonts w:hint="eastAsia" w:ascii="Arial" w:hAnsi="Arial"/>
          <w:spacing w:val="4"/>
          <w:lang w:val="en-US" w:eastAsia="zh-CN"/>
        </w:rPr>
        <w:t>签定合同后，根据甲方生产安排施工30</w:t>
      </w:r>
      <w:r>
        <w:rPr>
          <w:rFonts w:hint="eastAsia" w:ascii="Arial" w:hAnsi="Arial"/>
          <w:spacing w:val="4"/>
        </w:rPr>
        <w:t>个日历日之内完成</w:t>
      </w:r>
      <w:r>
        <w:rPr>
          <w:rFonts w:hint="eastAsia" w:ascii="Arial" w:hAnsi="Arial"/>
          <w:spacing w:val="4"/>
          <w:lang w:eastAsia="zh-CN"/>
        </w:rPr>
        <w:t>。</w:t>
      </w:r>
      <w:r>
        <w:rPr>
          <w:rFonts w:hint="eastAsia" w:ascii="Arial" w:hAnsi="Arial"/>
          <w:spacing w:val="4"/>
        </w:rPr>
        <w:t>（投标文件“供货时间”中，应明确说明各阶段工作最终完成时间）。</w:t>
      </w:r>
      <w:r>
        <w:rPr>
          <w:rFonts w:hint="eastAsia" w:ascii="宋体" w:hAnsi="宋体"/>
          <w:b/>
          <w:bCs/>
        </w:rPr>
        <w:br w:type="textWrapping"/>
      </w:r>
      <w:r>
        <w:rPr>
          <w:rFonts w:hint="eastAsia" w:ascii="宋体" w:hAnsi="宋体" w:cs="宋体"/>
          <w:kern w:val="2"/>
          <w:sz w:val="24"/>
          <w:szCs w:val="24"/>
          <w:lang w:val="en-US" w:eastAsia="zh-CN" w:bidi="ar-SA"/>
        </w:rPr>
        <w:t>2、应急服务时间</w:t>
      </w:r>
    </w:p>
    <w:p w14:paraId="470DD685">
      <w:pPr>
        <w:spacing w:before="50" w:line="360" w:lineRule="auto"/>
        <w:rPr>
          <w:rFonts w:hint="eastAsia" w:ascii="宋体" w:hAnsi="宋体" w:cs="宋体"/>
          <w:kern w:val="2"/>
          <w:sz w:val="24"/>
          <w:szCs w:val="24"/>
          <w:lang w:val="en-US" w:eastAsia="zh-CN" w:bidi="ar-SA"/>
        </w:rPr>
      </w:pPr>
      <w:r>
        <w:rPr>
          <w:rFonts w:hint="eastAsia" w:ascii="宋体" w:hAnsi="宋体" w:cs="宋体"/>
          <w:kern w:val="2"/>
          <w:sz w:val="24"/>
          <w:szCs w:val="24"/>
          <w:lang w:val="en-US" w:eastAsia="zh-CN" w:bidi="ar-SA"/>
        </w:rPr>
        <w:t>2.1在质保期之内，如发现投标方所提供的设备（或材料）存在问题，需要投标方配合解决时，承揽方须在接到通知后市内</w:t>
      </w:r>
      <w:r>
        <w:rPr>
          <w:rFonts w:hint="eastAsia" w:ascii="宋体" w:hAnsi="宋体" w:cs="宋体"/>
          <w:kern w:val="2"/>
          <w:sz w:val="24"/>
          <w:szCs w:val="24"/>
          <w:u w:val="single"/>
          <w:lang w:val="en-US" w:eastAsia="zh-CN" w:bidi="ar-SA"/>
        </w:rPr>
        <w:t xml:space="preserve"> 2  </w:t>
      </w:r>
      <w:r>
        <w:rPr>
          <w:rFonts w:hint="eastAsia" w:ascii="宋体" w:hAnsi="宋体" w:cs="宋体"/>
          <w:kern w:val="2"/>
          <w:sz w:val="24"/>
          <w:szCs w:val="24"/>
          <w:lang w:val="en-US" w:eastAsia="zh-CN" w:bidi="ar-SA"/>
        </w:rPr>
        <w:t>、省内</w:t>
      </w:r>
      <w:r>
        <w:rPr>
          <w:rFonts w:hint="eastAsia" w:ascii="宋体" w:hAnsi="宋体" w:cs="宋体"/>
          <w:kern w:val="2"/>
          <w:sz w:val="24"/>
          <w:szCs w:val="24"/>
          <w:u w:val="single"/>
          <w:lang w:val="en-US" w:eastAsia="zh-CN" w:bidi="ar-SA"/>
        </w:rPr>
        <w:t xml:space="preserve">  8 </w:t>
      </w:r>
      <w:r>
        <w:rPr>
          <w:rFonts w:hint="eastAsia" w:ascii="宋体" w:hAnsi="宋体" w:cs="宋体"/>
          <w:kern w:val="2"/>
          <w:sz w:val="24"/>
          <w:szCs w:val="24"/>
          <w:lang w:val="en-US" w:eastAsia="zh-CN" w:bidi="ar-SA"/>
        </w:rPr>
        <w:t xml:space="preserve"> 、省外</w:t>
      </w:r>
      <w:r>
        <w:rPr>
          <w:rFonts w:hint="eastAsia" w:ascii="宋体" w:hAnsi="宋体" w:cs="宋体"/>
          <w:kern w:val="2"/>
          <w:sz w:val="24"/>
          <w:szCs w:val="24"/>
          <w:u w:val="single"/>
          <w:lang w:val="en-US" w:eastAsia="zh-CN" w:bidi="ar-SA"/>
        </w:rPr>
        <w:t xml:space="preserve">  24  </w:t>
      </w:r>
      <w:r>
        <w:rPr>
          <w:rFonts w:hint="eastAsia" w:ascii="宋体" w:hAnsi="宋体" w:cs="宋体"/>
          <w:kern w:val="2"/>
          <w:sz w:val="24"/>
          <w:szCs w:val="24"/>
          <w:lang w:val="en-US" w:eastAsia="zh-CN" w:bidi="ar-SA"/>
        </w:rPr>
        <w:t>小时内派有关人员到达现场，解决问题；</w:t>
      </w:r>
    </w:p>
    <w:p w14:paraId="2B0BB363">
      <w:pPr>
        <w:spacing w:before="50" w:line="360" w:lineRule="auto"/>
        <w:rPr>
          <w:rFonts w:hint="eastAsia" w:ascii="宋体" w:hAnsi="宋体" w:cs="宋体"/>
          <w:kern w:val="2"/>
          <w:sz w:val="24"/>
          <w:szCs w:val="24"/>
          <w:lang w:val="en-US" w:eastAsia="zh-CN" w:bidi="ar-SA"/>
        </w:rPr>
      </w:pPr>
      <w:r>
        <w:rPr>
          <w:rFonts w:hint="eastAsia" w:ascii="宋体" w:hAnsi="宋体" w:cs="宋体"/>
          <w:kern w:val="2"/>
          <w:sz w:val="24"/>
          <w:szCs w:val="24"/>
          <w:lang w:val="en-US" w:eastAsia="zh-CN" w:bidi="ar-SA"/>
        </w:rPr>
        <w:t>2.2在质保期之后，如发现投标方所提供的设备（或材料）存在问题，需要投标方配合解决时，投标方须在接到通知后市内</w:t>
      </w:r>
      <w:r>
        <w:rPr>
          <w:rFonts w:hint="eastAsia" w:ascii="宋体" w:hAnsi="宋体" w:cs="宋体"/>
          <w:kern w:val="2"/>
          <w:sz w:val="24"/>
          <w:szCs w:val="24"/>
          <w:u w:val="single"/>
          <w:lang w:val="en-US" w:eastAsia="zh-CN" w:bidi="ar-SA"/>
        </w:rPr>
        <w:t xml:space="preserve"> 2 </w:t>
      </w:r>
      <w:r>
        <w:rPr>
          <w:rFonts w:hint="eastAsia" w:ascii="宋体" w:hAnsi="宋体" w:cs="宋体"/>
          <w:kern w:val="2"/>
          <w:sz w:val="24"/>
          <w:szCs w:val="24"/>
          <w:lang w:val="en-US" w:eastAsia="zh-CN" w:bidi="ar-SA"/>
        </w:rPr>
        <w:t xml:space="preserve"> 、省内</w:t>
      </w:r>
      <w:r>
        <w:rPr>
          <w:rFonts w:hint="eastAsia" w:ascii="宋体" w:hAnsi="宋体" w:cs="宋体"/>
          <w:kern w:val="2"/>
          <w:sz w:val="24"/>
          <w:szCs w:val="24"/>
          <w:u w:val="single"/>
          <w:lang w:val="en-US" w:eastAsia="zh-CN" w:bidi="ar-SA"/>
        </w:rPr>
        <w:t xml:space="preserve">  8 </w:t>
      </w:r>
      <w:r>
        <w:rPr>
          <w:rFonts w:hint="eastAsia" w:ascii="宋体" w:hAnsi="宋体" w:cs="宋体"/>
          <w:kern w:val="2"/>
          <w:sz w:val="24"/>
          <w:szCs w:val="24"/>
          <w:lang w:val="en-US" w:eastAsia="zh-CN" w:bidi="ar-SA"/>
        </w:rPr>
        <w:t xml:space="preserve"> 、省外</w:t>
      </w:r>
      <w:r>
        <w:rPr>
          <w:rFonts w:hint="eastAsia" w:ascii="宋体" w:hAnsi="宋体" w:cs="宋体"/>
          <w:kern w:val="2"/>
          <w:sz w:val="24"/>
          <w:szCs w:val="24"/>
          <w:u w:val="single"/>
          <w:lang w:val="en-US" w:eastAsia="zh-CN" w:bidi="ar-SA"/>
        </w:rPr>
        <w:t xml:space="preserve">  24  </w:t>
      </w:r>
      <w:r>
        <w:rPr>
          <w:rFonts w:hint="eastAsia" w:ascii="宋体" w:hAnsi="宋体" w:cs="宋体"/>
          <w:kern w:val="2"/>
          <w:sz w:val="24"/>
          <w:szCs w:val="24"/>
          <w:lang w:val="en-US" w:eastAsia="zh-CN" w:bidi="ar-SA"/>
        </w:rPr>
        <w:t>小时内派有关人员到达现场，协助委托方解决问题；</w:t>
      </w:r>
    </w:p>
    <w:p w14:paraId="533A6F10">
      <w:pPr>
        <w:spacing w:before="50" w:line="360" w:lineRule="auto"/>
        <w:rPr>
          <w:rFonts w:hint="eastAsia" w:ascii="宋体" w:hAnsi="宋体" w:cs="宋体"/>
          <w:kern w:val="2"/>
          <w:sz w:val="24"/>
          <w:szCs w:val="24"/>
          <w:lang w:val="en-US" w:eastAsia="zh-CN" w:bidi="ar-SA"/>
        </w:rPr>
      </w:pPr>
      <w:r>
        <w:rPr>
          <w:rFonts w:hint="eastAsia" w:ascii="宋体" w:hAnsi="宋体" w:cs="宋体"/>
          <w:kern w:val="2"/>
          <w:sz w:val="24"/>
          <w:szCs w:val="24"/>
          <w:lang w:val="en-US" w:eastAsia="zh-CN" w:bidi="ar-SA"/>
        </w:rPr>
        <w:t>2.3所有的售后服务均由承揽方受理。如果发生问题并且收到报告，应当在2小时内予以答复。</w:t>
      </w:r>
      <w:r>
        <w:rPr>
          <w:rFonts w:hint="eastAsia" w:ascii="宋体" w:hAnsi="宋体" w:cs="宋体"/>
          <w:kern w:val="2"/>
          <w:sz w:val="24"/>
          <w:szCs w:val="24"/>
          <w:lang w:val="en-US" w:eastAsia="zh-CN" w:bidi="ar-SA"/>
        </w:rPr>
        <w:br w:type="textWrapping"/>
      </w:r>
      <w:r>
        <w:rPr>
          <w:rFonts w:hint="eastAsia" w:ascii="宋体" w:hAnsi="宋体" w:cs="宋体"/>
          <w:kern w:val="2"/>
          <w:sz w:val="24"/>
          <w:szCs w:val="24"/>
          <w:lang w:val="en-US" w:eastAsia="zh-CN" w:bidi="ar-SA"/>
        </w:rPr>
        <w:t>3、质保期</w:t>
      </w:r>
    </w:p>
    <w:p w14:paraId="740C1E5B">
      <w:pPr>
        <w:spacing w:before="50" w:line="360" w:lineRule="auto"/>
        <w:rPr>
          <w:rFonts w:hint="eastAsia" w:ascii="Arial" w:hAnsi="Arial"/>
          <w:spacing w:val="4"/>
          <w:lang w:val="en-US" w:eastAsia="zh-CN"/>
        </w:rPr>
      </w:pPr>
      <w:r>
        <w:rPr>
          <w:rFonts w:hint="eastAsia" w:ascii="宋体" w:hAnsi="宋体" w:cs="宋体"/>
          <w:kern w:val="2"/>
          <w:sz w:val="24"/>
          <w:szCs w:val="24"/>
          <w:lang w:val="en-US" w:eastAsia="zh-CN" w:bidi="ar-SA"/>
        </w:rPr>
        <w:t>本项目自竣工验收通过之日起不少于十二个月。施工方对项目维修质量负责包修。在质保期内，承包内容出现的任何质量问题，施工方在接到业主的通知后最晚24小时内到达现场整改，并按要求期限整改完毕。费用由责任方承担。</w:t>
      </w:r>
      <w:r>
        <w:rPr>
          <w:rFonts w:hint="eastAsia" w:ascii="宋体" w:hAnsi="宋体" w:cs="宋体"/>
          <w:kern w:val="2"/>
          <w:sz w:val="24"/>
          <w:szCs w:val="24"/>
          <w:lang w:val="en-US" w:eastAsia="zh-CN" w:bidi="ar-SA"/>
        </w:rPr>
        <w:br w:type="textWrapping"/>
      </w:r>
      <w:r>
        <w:rPr>
          <w:rFonts w:hint="eastAsia" w:ascii="黑体" w:hAnsi="Courier New" w:eastAsia="黑体" w:cs="Times New Roman"/>
          <w:b/>
          <w:bCs/>
          <w:kern w:val="2"/>
          <w:sz w:val="28"/>
          <w:lang w:val="en-US" w:eastAsia="zh-CN" w:bidi="ar-SA"/>
        </w:rPr>
        <w:t>九、责任</w:t>
      </w:r>
    </w:p>
    <w:p w14:paraId="3B5D3CF4">
      <w:pPr>
        <w:numPr>
          <w:ilvl w:val="0"/>
          <w:numId w:val="0"/>
        </w:numPr>
        <w:spacing w:line="360" w:lineRule="auto"/>
        <w:rPr>
          <w:rFonts w:hint="default" w:ascii="宋体" w:hAnsi="宋体" w:eastAsia="宋体" w:cs="Times New Roman"/>
          <w:sz w:val="24"/>
          <w:highlight w:val="none"/>
          <w:lang w:val="en-US" w:eastAsia="zh-CN"/>
        </w:rPr>
      </w:pPr>
      <w:r>
        <w:rPr>
          <w:rFonts w:hint="eastAsia" w:ascii="宋体" w:hAnsi="宋体" w:cs="Times New Roman"/>
          <w:sz w:val="24"/>
          <w:highlight w:val="none"/>
          <w:lang w:val="en-US" w:eastAsia="zh-CN"/>
        </w:rPr>
        <w:t>1、</w:t>
      </w:r>
      <w:r>
        <w:rPr>
          <w:rFonts w:hint="eastAsia" w:ascii="宋体" w:hAnsi="宋体" w:eastAsia="宋体" w:cs="Times New Roman"/>
          <w:sz w:val="24"/>
          <w:highlight w:val="none"/>
          <w:lang w:val="en-US" w:eastAsia="zh-CN"/>
        </w:rPr>
        <w:t>投标单位在接到电话后未及时到达现场的，一次考核</w:t>
      </w:r>
      <w:r>
        <w:rPr>
          <w:rFonts w:hint="default" w:ascii="宋体" w:hAnsi="宋体" w:eastAsia="宋体" w:cs="Times New Roman"/>
          <w:sz w:val="24"/>
          <w:highlight w:val="none"/>
          <w:lang w:val="en-US" w:eastAsia="zh-CN"/>
        </w:rPr>
        <w:t>500</w:t>
      </w:r>
      <w:r>
        <w:rPr>
          <w:rFonts w:hint="eastAsia" w:ascii="宋体" w:hAnsi="宋体" w:eastAsia="宋体" w:cs="Times New Roman"/>
          <w:sz w:val="24"/>
          <w:highlight w:val="none"/>
          <w:lang w:val="en-US" w:eastAsia="zh-CN"/>
        </w:rPr>
        <w:t>元。停电造成严重后果的根据招标单位的损失加倍考核。</w:t>
      </w:r>
    </w:p>
    <w:p w14:paraId="6DE391A9">
      <w:pPr>
        <w:numPr>
          <w:ilvl w:val="0"/>
          <w:numId w:val="0"/>
        </w:numPr>
        <w:spacing w:line="360" w:lineRule="auto"/>
        <w:rPr>
          <w:rFonts w:hint="default" w:ascii="宋体" w:hAnsi="宋体" w:eastAsia="宋体" w:cs="Times New Roman"/>
          <w:sz w:val="24"/>
          <w:highlight w:val="none"/>
          <w:lang w:val="en-US" w:eastAsia="zh-CN"/>
        </w:rPr>
      </w:pPr>
    </w:p>
    <w:p w14:paraId="3D15DC62">
      <w:pPr>
        <w:pStyle w:val="70"/>
        <w:rPr>
          <w:rFonts w:hint="default"/>
          <w:lang w:val="en-US" w:eastAsia="zh-CN"/>
        </w:rPr>
      </w:pPr>
    </w:p>
    <w:p w14:paraId="1BA7E38A">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textWrapping"/>
      </w:r>
    </w:p>
    <w:p w14:paraId="228CB567">
      <w:pPr>
        <w:rPr>
          <w:rFonts w:hint="eastAsia" w:ascii="Times New Roman" w:hAnsi="Times New Roman" w:eastAsia="宋体" w:cs="Times New Roman"/>
          <w:b/>
          <w:bCs/>
          <w:color w:val="000000"/>
          <w:sz w:val="24"/>
          <w:szCs w:val="24"/>
        </w:rPr>
      </w:pPr>
      <w:r>
        <w:rPr>
          <w:rFonts w:hint="eastAsia" w:ascii="Times New Roman" w:hAnsi="Times New Roman" w:eastAsia="宋体" w:cs="Times New Roman"/>
          <w:b/>
          <w:bCs/>
          <w:color w:val="000000"/>
          <w:sz w:val="24"/>
          <w:szCs w:val="24"/>
        </w:rPr>
        <w:br w:type="page"/>
      </w:r>
    </w:p>
    <w:p w14:paraId="49BAF35F">
      <w:pPr>
        <w:rPr>
          <w:rFonts w:ascii="Times New Roman" w:hAnsi="Times New Roman" w:cs="Times New Roman"/>
          <w:b/>
          <w:sz w:val="32"/>
        </w:rPr>
      </w:pPr>
      <w:r>
        <w:rPr>
          <w:rFonts w:hint="eastAsia" w:ascii="Times New Roman" w:hAnsi="Times New Roman" w:eastAsia="宋体" w:cs="Times New Roman"/>
          <w:b/>
          <w:bCs/>
          <w:color w:val="000000"/>
          <w:sz w:val="24"/>
          <w:szCs w:val="24"/>
        </w:rPr>
        <w:t>附件</w:t>
      </w:r>
      <w:r>
        <w:rPr>
          <w:rFonts w:ascii="Times New Roman" w:hAnsi="Times New Roman" w:eastAsia="宋体" w:cs="Times New Roman"/>
          <w:b/>
          <w:bCs/>
          <w:color w:val="000000"/>
          <w:sz w:val="24"/>
          <w:szCs w:val="24"/>
        </w:rPr>
        <w:t>1</w:t>
      </w:r>
      <w:bookmarkStart w:id="20" w:name="_Toc639004"/>
      <w:bookmarkStart w:id="21" w:name="_Toc25811"/>
      <w:bookmarkStart w:id="22" w:name="_Toc212369550"/>
      <w:bookmarkStart w:id="23" w:name="_Toc353881012"/>
      <w:r>
        <w:rPr>
          <w:rFonts w:hint="eastAsia" w:cs="Times New Roman"/>
          <w:b/>
          <w:bCs/>
          <w:color w:val="000000"/>
          <w:sz w:val="24"/>
          <w:szCs w:val="24"/>
          <w:lang w:val="en-US" w:eastAsia="zh-CN"/>
        </w:rPr>
        <w:t xml:space="preserve">                            </w:t>
      </w:r>
      <w:r>
        <w:rPr>
          <w:rFonts w:ascii="Times New Roman" w:hAnsi="Times New Roman" w:eastAsia="宋体" w:cs="Times New Roman"/>
          <w:b/>
          <w:bCs/>
          <w:color w:val="000000"/>
          <w:sz w:val="24"/>
          <w:szCs w:val="24"/>
        </w:rPr>
        <w:t xml:space="preserve"> </w:t>
      </w:r>
      <w:r>
        <w:rPr>
          <w:rFonts w:hint="eastAsia" w:ascii="Times New Roman" w:hAnsi="Times New Roman" w:cs="Times New Roman"/>
          <w:b/>
          <w:sz w:val="32"/>
        </w:rPr>
        <w:t>投标函</w:t>
      </w:r>
      <w:bookmarkEnd w:id="20"/>
      <w:bookmarkEnd w:id="21"/>
      <w:bookmarkEnd w:id="22"/>
      <w:bookmarkEnd w:id="23"/>
    </w:p>
    <w:p w14:paraId="4226417E">
      <w:pPr>
        <w:widowControl/>
        <w:spacing w:line="480" w:lineRule="exact"/>
        <w:jc w:val="left"/>
        <w:rPr>
          <w:rFonts w:hAnsi="Times New Roman"/>
          <w:color w:val="000000"/>
          <w:sz w:val="24"/>
          <w:szCs w:val="24"/>
        </w:rPr>
      </w:pPr>
      <w:r>
        <w:rPr>
          <w:rFonts w:hAnsi="Times New Roman"/>
          <w:color w:val="000000"/>
          <w:sz w:val="24"/>
          <w:szCs w:val="24"/>
        </w:rPr>
        <w:t>致：中国重汽集团济南</w:t>
      </w:r>
      <w:r>
        <w:rPr>
          <w:rFonts w:hint="eastAsia" w:hAnsi="Times New Roman"/>
          <w:color w:val="000000"/>
          <w:sz w:val="24"/>
          <w:szCs w:val="24"/>
          <w:lang w:val="en-US" w:eastAsia="zh-CN"/>
        </w:rPr>
        <w:t>卡车股份</w:t>
      </w:r>
      <w:r>
        <w:rPr>
          <w:rFonts w:hAnsi="Times New Roman"/>
          <w:color w:val="000000"/>
          <w:sz w:val="24"/>
          <w:szCs w:val="24"/>
        </w:rPr>
        <w:t>有限公司</w:t>
      </w:r>
    </w:p>
    <w:p w14:paraId="44C2BD63">
      <w:pPr>
        <w:widowControl/>
        <w:spacing w:line="480" w:lineRule="exact"/>
        <w:ind w:firstLine="480"/>
        <w:jc w:val="left"/>
        <w:rPr>
          <w:rFonts w:hAnsi="Times New Roman"/>
          <w:color w:val="000000"/>
          <w:sz w:val="24"/>
          <w:szCs w:val="24"/>
        </w:rPr>
      </w:pPr>
      <w:r>
        <w:rPr>
          <w:rFonts w:hAnsi="Times New Roman"/>
          <w:color w:val="000000"/>
          <w:sz w:val="24"/>
          <w:szCs w:val="24"/>
        </w:rPr>
        <w:t>根据贵方为</w:t>
      </w:r>
      <w:r>
        <w:rPr>
          <w:rFonts w:hAnsi="Times New Roman"/>
          <w:i/>
          <w:color w:val="000000"/>
          <w:sz w:val="24"/>
          <w:szCs w:val="24"/>
          <w:u w:val="single"/>
        </w:rPr>
        <w:t>（项目名称）</w:t>
      </w:r>
      <w:r>
        <w:rPr>
          <w:rFonts w:hAnsi="Times New Roman"/>
          <w:color w:val="000000"/>
          <w:sz w:val="24"/>
          <w:szCs w:val="24"/>
        </w:rPr>
        <w:t>项目招标承揽工程及服务的投标邀请</w:t>
      </w:r>
      <w:r>
        <w:rPr>
          <w:rFonts w:hAnsi="Times New Roman"/>
          <w:i/>
          <w:color w:val="000000"/>
          <w:sz w:val="24"/>
          <w:szCs w:val="24"/>
          <w:u w:val="single"/>
        </w:rPr>
        <w:t>（招标编号）</w:t>
      </w:r>
      <w:r>
        <w:rPr>
          <w:rFonts w:hAnsi="Times New Roman"/>
          <w:color w:val="000000"/>
          <w:sz w:val="24"/>
          <w:szCs w:val="24"/>
        </w:rPr>
        <w:t>，投标人代表</w:t>
      </w:r>
      <w:r>
        <w:rPr>
          <w:rFonts w:hAnsi="Times New Roman"/>
          <w:i/>
          <w:color w:val="000000"/>
          <w:sz w:val="24"/>
          <w:szCs w:val="24"/>
          <w:u w:val="single"/>
        </w:rPr>
        <w:t>（姓名、职务）</w:t>
      </w:r>
      <w:r>
        <w:rPr>
          <w:rFonts w:hAnsi="Times New Roman"/>
          <w:color w:val="000000"/>
          <w:sz w:val="24"/>
          <w:szCs w:val="24"/>
        </w:rPr>
        <w:t>经正式授权并代表投标人</w:t>
      </w:r>
      <w:r>
        <w:rPr>
          <w:rFonts w:hAnsi="Times New Roman"/>
          <w:i/>
          <w:color w:val="000000"/>
          <w:sz w:val="24"/>
          <w:szCs w:val="24"/>
          <w:u w:val="single"/>
        </w:rPr>
        <w:t>（投标人名称、地址）</w:t>
      </w:r>
      <w:r>
        <w:rPr>
          <w:rFonts w:hAnsi="Times New Roman"/>
          <w:color w:val="000000"/>
          <w:sz w:val="24"/>
          <w:szCs w:val="24"/>
        </w:rPr>
        <w:t>提交投标文件正本一份及副本</w:t>
      </w:r>
      <w:r>
        <w:rPr>
          <w:rFonts w:hint="eastAsia" w:hAnsi="Times New Roman"/>
          <w:color w:val="000000"/>
          <w:sz w:val="24"/>
          <w:szCs w:val="24"/>
        </w:rPr>
        <w:t>四</w:t>
      </w:r>
      <w:r>
        <w:rPr>
          <w:rFonts w:hAnsi="Times New Roman"/>
          <w:color w:val="000000"/>
          <w:sz w:val="24"/>
          <w:szCs w:val="24"/>
        </w:rPr>
        <w:t>份。</w:t>
      </w:r>
    </w:p>
    <w:p w14:paraId="2E7BF51D">
      <w:pPr>
        <w:widowControl/>
        <w:spacing w:line="480" w:lineRule="exact"/>
        <w:ind w:firstLine="480"/>
        <w:jc w:val="left"/>
        <w:rPr>
          <w:rFonts w:hAnsi="Times New Roman"/>
          <w:color w:val="000000"/>
          <w:sz w:val="24"/>
          <w:szCs w:val="24"/>
        </w:rPr>
      </w:pPr>
    </w:p>
    <w:p w14:paraId="7B2F8111">
      <w:pPr>
        <w:widowControl/>
        <w:spacing w:line="480" w:lineRule="exact"/>
        <w:ind w:firstLine="480"/>
        <w:jc w:val="left"/>
        <w:rPr>
          <w:rFonts w:hAnsi="Times New Roman"/>
          <w:color w:val="000000"/>
          <w:sz w:val="24"/>
          <w:szCs w:val="24"/>
        </w:rPr>
      </w:pPr>
      <w:r>
        <w:rPr>
          <w:rFonts w:hAnsi="Times New Roman"/>
          <w:color w:val="000000"/>
          <w:sz w:val="24"/>
          <w:szCs w:val="24"/>
        </w:rPr>
        <w:t>据此函，签字代表宣布同意如下：</w:t>
      </w:r>
    </w:p>
    <w:p w14:paraId="66D2D8EB">
      <w:pPr>
        <w:widowControl/>
        <w:spacing w:line="480" w:lineRule="exact"/>
        <w:ind w:firstLine="540"/>
        <w:jc w:val="left"/>
        <w:rPr>
          <w:rFonts w:hAnsi="Times New Roman"/>
          <w:color w:val="000000"/>
          <w:sz w:val="24"/>
          <w:szCs w:val="24"/>
        </w:rPr>
      </w:pPr>
      <w:r>
        <w:rPr>
          <w:rFonts w:hAnsi="Times New Roman"/>
          <w:color w:val="000000"/>
          <w:sz w:val="24"/>
          <w:szCs w:val="24"/>
        </w:rPr>
        <w:t>1、所附投标价格表中规定的应提交和交付的工程项目投标明细为</w:t>
      </w:r>
      <w:r>
        <w:rPr>
          <w:rFonts w:hAnsi="Times New Roman"/>
          <w:i/>
          <w:color w:val="000000"/>
          <w:sz w:val="24"/>
          <w:szCs w:val="24"/>
          <w:u w:val="single"/>
        </w:rPr>
        <w:t>详见开标一览表</w:t>
      </w:r>
      <w:r>
        <w:rPr>
          <w:rFonts w:hAnsi="Times New Roman"/>
          <w:color w:val="000000"/>
          <w:sz w:val="24"/>
          <w:szCs w:val="24"/>
        </w:rPr>
        <w:t>。</w:t>
      </w:r>
    </w:p>
    <w:p w14:paraId="1F738AE0">
      <w:pPr>
        <w:widowControl/>
        <w:spacing w:line="480" w:lineRule="exact"/>
        <w:ind w:firstLine="540"/>
        <w:jc w:val="left"/>
        <w:rPr>
          <w:rFonts w:hAnsi="Times New Roman"/>
          <w:color w:val="000000"/>
          <w:sz w:val="24"/>
          <w:szCs w:val="24"/>
        </w:rPr>
      </w:pPr>
      <w:r>
        <w:rPr>
          <w:rFonts w:hAnsi="Times New Roman"/>
          <w:color w:val="000000"/>
          <w:sz w:val="24"/>
          <w:szCs w:val="24"/>
        </w:rPr>
        <w:t>2、投标人将按招标文件的规定履行合同责任和义务。</w:t>
      </w:r>
    </w:p>
    <w:p w14:paraId="20629577">
      <w:pPr>
        <w:widowControl/>
        <w:spacing w:line="480" w:lineRule="exact"/>
        <w:ind w:firstLine="540"/>
        <w:jc w:val="left"/>
        <w:rPr>
          <w:rFonts w:hAnsi="Times New Roman"/>
          <w:color w:val="000000"/>
          <w:sz w:val="24"/>
          <w:szCs w:val="24"/>
        </w:rPr>
      </w:pPr>
      <w:r>
        <w:rPr>
          <w:rFonts w:hAnsi="Times New Roman"/>
          <w:color w:val="000000"/>
          <w:sz w:val="24"/>
          <w:szCs w:val="24"/>
        </w:rPr>
        <w:t>3、投标人已详细审查全部招标文件，包括有关澄清和修改说明（如果有的话）。我们完全理解并同意放弃对这方面有不明及误解的权力。</w:t>
      </w:r>
    </w:p>
    <w:p w14:paraId="7EDC9307">
      <w:pPr>
        <w:widowControl/>
        <w:spacing w:line="480" w:lineRule="exact"/>
        <w:ind w:firstLine="540"/>
        <w:jc w:val="left"/>
        <w:rPr>
          <w:rFonts w:hAnsi="Times New Roman"/>
          <w:color w:val="000000"/>
          <w:sz w:val="24"/>
          <w:szCs w:val="24"/>
        </w:rPr>
      </w:pPr>
      <w:r>
        <w:rPr>
          <w:rFonts w:hAnsi="Times New Roman"/>
          <w:color w:val="000000"/>
          <w:sz w:val="24"/>
          <w:szCs w:val="24"/>
        </w:rPr>
        <w:t>4、本投标有效期为自开标日起</w:t>
      </w:r>
      <w:r>
        <w:rPr>
          <w:rFonts w:hAnsi="Times New Roman"/>
          <w:color w:val="000000"/>
          <w:sz w:val="24"/>
          <w:szCs w:val="24"/>
          <w:u w:val="single"/>
        </w:rPr>
        <w:t xml:space="preserve">   </w:t>
      </w:r>
      <w:r>
        <w:rPr>
          <w:rFonts w:hint="eastAsia" w:hAnsi="Times New Roman"/>
          <w:color w:val="000000"/>
          <w:sz w:val="24"/>
          <w:szCs w:val="24"/>
          <w:u w:val="single"/>
          <w:lang w:val="en-US" w:eastAsia="zh-CN"/>
        </w:rPr>
        <w:t>90</w:t>
      </w:r>
      <w:r>
        <w:rPr>
          <w:rFonts w:hAnsi="Times New Roman"/>
          <w:color w:val="000000"/>
          <w:sz w:val="24"/>
          <w:szCs w:val="24"/>
          <w:u w:val="single"/>
        </w:rPr>
        <w:t xml:space="preserve">    </w:t>
      </w:r>
      <w:r>
        <w:rPr>
          <w:rFonts w:hAnsi="Times New Roman"/>
          <w:color w:val="000000"/>
          <w:sz w:val="24"/>
          <w:szCs w:val="24"/>
        </w:rPr>
        <w:t>个日历日。在这期间，本投标文件将始终对我方具有约束力。如果中标，本次招标文件和本投标文件（含承诺书）将作为买卖合用的附件。</w:t>
      </w:r>
    </w:p>
    <w:p w14:paraId="73255388">
      <w:pPr>
        <w:widowControl/>
        <w:spacing w:line="480" w:lineRule="exact"/>
        <w:ind w:firstLine="540"/>
        <w:jc w:val="left"/>
        <w:rPr>
          <w:rFonts w:hAnsi="Times New Roman"/>
          <w:color w:val="000000"/>
          <w:sz w:val="24"/>
          <w:szCs w:val="24"/>
        </w:rPr>
      </w:pPr>
      <w:r>
        <w:rPr>
          <w:rFonts w:hAnsi="Times New Roman"/>
          <w:color w:val="000000"/>
          <w:sz w:val="24"/>
          <w:szCs w:val="24"/>
        </w:rPr>
        <w:t>5、我方愿意向招标人提供任何与本次招标有关的其他资料。</w:t>
      </w:r>
    </w:p>
    <w:p w14:paraId="1ACE630F">
      <w:pPr>
        <w:widowControl/>
        <w:spacing w:line="480" w:lineRule="exact"/>
        <w:ind w:firstLine="540"/>
        <w:jc w:val="left"/>
        <w:rPr>
          <w:rFonts w:hAnsi="Times New Roman"/>
          <w:color w:val="000000"/>
          <w:sz w:val="24"/>
          <w:szCs w:val="24"/>
        </w:rPr>
      </w:pPr>
      <w:r>
        <w:rPr>
          <w:rFonts w:hAnsi="Times New Roman"/>
          <w:color w:val="000000"/>
          <w:sz w:val="24"/>
          <w:szCs w:val="24"/>
        </w:rPr>
        <w:t>6、我方愿意履行自己在投标文件中的全部承诺和责任。</w:t>
      </w:r>
    </w:p>
    <w:p w14:paraId="579F45AF">
      <w:pPr>
        <w:widowControl/>
        <w:spacing w:line="480" w:lineRule="exact"/>
        <w:ind w:firstLine="540"/>
        <w:jc w:val="left"/>
        <w:rPr>
          <w:rFonts w:hAnsi="Times New Roman"/>
          <w:color w:val="000000"/>
          <w:sz w:val="24"/>
          <w:szCs w:val="24"/>
        </w:rPr>
      </w:pPr>
      <w:r>
        <w:rPr>
          <w:rFonts w:hAnsi="Times New Roman"/>
          <w:color w:val="000000"/>
          <w:sz w:val="24"/>
          <w:szCs w:val="24"/>
        </w:rPr>
        <w:t>7、我方愿意遵守招标文件中对投标者的所有规定。</w:t>
      </w:r>
    </w:p>
    <w:p w14:paraId="49DA9F99">
      <w:pPr>
        <w:widowControl/>
        <w:spacing w:line="480" w:lineRule="exact"/>
        <w:ind w:firstLine="540"/>
        <w:jc w:val="left"/>
        <w:rPr>
          <w:rFonts w:hAnsi="Times New Roman"/>
          <w:color w:val="000000"/>
          <w:sz w:val="24"/>
          <w:szCs w:val="24"/>
        </w:rPr>
      </w:pPr>
      <w:r>
        <w:rPr>
          <w:rFonts w:hAnsi="Times New Roman"/>
          <w:color w:val="000000"/>
          <w:sz w:val="24"/>
          <w:szCs w:val="24"/>
        </w:rPr>
        <w:t>8、我方完全理解《中华人民共和国招标投标法》第四章第四十四条之规定，并郑重承诺按此规定，不以任何形式向评标委员会成员和参与评标的有关工作人员探听对投标文件的评审和比较、中标候选人的推荐情况以及与评标有关的其他情况。</w:t>
      </w:r>
    </w:p>
    <w:p w14:paraId="4795F2AB">
      <w:pPr>
        <w:widowControl/>
        <w:spacing w:line="480" w:lineRule="exact"/>
        <w:ind w:firstLine="540"/>
        <w:jc w:val="left"/>
        <w:rPr>
          <w:rFonts w:hAnsi="Times New Roman"/>
          <w:color w:val="000000"/>
          <w:sz w:val="24"/>
          <w:szCs w:val="24"/>
        </w:rPr>
      </w:pPr>
      <w:r>
        <w:rPr>
          <w:rFonts w:hAnsi="Times New Roman"/>
          <w:color w:val="000000"/>
          <w:sz w:val="24"/>
          <w:szCs w:val="24"/>
        </w:rPr>
        <w:t>9、我方完全理解</w:t>
      </w:r>
      <w:r>
        <w:rPr>
          <w:rFonts w:ascii="Times New Roman" w:hAnsi="Times New Roman"/>
          <w:color w:val="000000"/>
          <w:sz w:val="24"/>
          <w:szCs w:val="24"/>
        </w:rPr>
        <w:t>招标人有保留在授标之前任何时候接受或拒绝任何投标，以及宣布招标程序无效或拒绝所有投标的权力。我方完全理解招标人无向未中标人解释未中标理由的义务。</w:t>
      </w:r>
    </w:p>
    <w:p w14:paraId="6EA7DA3E">
      <w:pPr>
        <w:widowControl/>
        <w:spacing w:line="480" w:lineRule="exact"/>
        <w:ind w:firstLine="540"/>
        <w:jc w:val="left"/>
        <w:rPr>
          <w:rFonts w:hAnsi="Times New Roman"/>
          <w:color w:val="000000"/>
          <w:sz w:val="24"/>
          <w:szCs w:val="24"/>
        </w:rPr>
      </w:pPr>
      <w:r>
        <w:rPr>
          <w:rFonts w:hAnsi="Times New Roman"/>
          <w:color w:val="000000"/>
          <w:sz w:val="24"/>
          <w:szCs w:val="24"/>
        </w:rPr>
        <w:t>10、在规定的开标时间后，我方如在投标有效期内撤回投标，将无条件同意贵方没收投标保证金。</w:t>
      </w:r>
    </w:p>
    <w:p w14:paraId="761B8A04">
      <w:pPr>
        <w:widowControl/>
        <w:spacing w:line="480" w:lineRule="exact"/>
        <w:ind w:firstLine="540"/>
        <w:jc w:val="left"/>
        <w:rPr>
          <w:rFonts w:hAnsi="Times New Roman"/>
          <w:color w:val="000000"/>
          <w:sz w:val="24"/>
          <w:szCs w:val="24"/>
        </w:rPr>
      </w:pPr>
      <w:r>
        <w:rPr>
          <w:rFonts w:hAnsi="Times New Roman"/>
          <w:color w:val="000000"/>
          <w:sz w:val="24"/>
          <w:szCs w:val="24"/>
        </w:rPr>
        <w:t>11、投标人同意提供按照贵方可能要求的与其投标有关的一切数据或资料，完全理解贵方不一定接受最低价的投标或收到的任何投标。</w:t>
      </w:r>
    </w:p>
    <w:p w14:paraId="7CDF68BD">
      <w:pPr>
        <w:widowControl/>
        <w:spacing w:line="480" w:lineRule="exact"/>
        <w:ind w:firstLine="540"/>
        <w:jc w:val="left"/>
        <w:rPr>
          <w:rFonts w:hAnsi="Times New Roman"/>
          <w:color w:val="000000"/>
          <w:sz w:val="24"/>
          <w:szCs w:val="24"/>
        </w:rPr>
      </w:pPr>
      <w:r>
        <w:rPr>
          <w:rFonts w:hAnsi="Times New Roman"/>
          <w:color w:val="000000"/>
          <w:sz w:val="24"/>
          <w:szCs w:val="24"/>
        </w:rPr>
        <w:t>12、如果我方中标，在与招标人签订合同前，将按招标文件相关要求，提供银行基本帐户开户许可证复印件。</w:t>
      </w:r>
    </w:p>
    <w:p w14:paraId="4511FD36">
      <w:pPr>
        <w:widowControl/>
        <w:spacing w:line="480" w:lineRule="exact"/>
        <w:ind w:firstLine="540"/>
        <w:jc w:val="left"/>
        <w:rPr>
          <w:rFonts w:hAnsi="Times New Roman"/>
          <w:color w:val="000000"/>
          <w:sz w:val="24"/>
          <w:szCs w:val="24"/>
        </w:rPr>
      </w:pPr>
      <w:r>
        <w:rPr>
          <w:rFonts w:hAnsi="Times New Roman"/>
          <w:color w:val="000000"/>
          <w:sz w:val="24"/>
          <w:szCs w:val="24"/>
        </w:rPr>
        <w:t>13、其他说明：</w:t>
      </w:r>
    </w:p>
    <w:p w14:paraId="0C4B8B7E">
      <w:pPr>
        <w:widowControl/>
        <w:spacing w:line="480" w:lineRule="exact"/>
        <w:ind w:firstLine="540"/>
        <w:jc w:val="left"/>
        <w:rPr>
          <w:rFonts w:hAnsi="Times New Roman"/>
          <w:color w:val="000000"/>
          <w:sz w:val="24"/>
          <w:szCs w:val="24"/>
        </w:rPr>
      </w:pPr>
      <w:r>
        <w:rPr>
          <w:rFonts w:hAnsi="Times New Roman"/>
          <w:color w:val="000000"/>
          <w:sz w:val="24"/>
          <w:szCs w:val="24"/>
        </w:rPr>
        <w:t>14、与本投标有关的一切正式往来信函请寄：</w:t>
      </w:r>
    </w:p>
    <w:p w14:paraId="4C7D5DB4">
      <w:pPr>
        <w:widowControl/>
        <w:spacing w:line="480" w:lineRule="exact"/>
        <w:ind w:left="420"/>
        <w:jc w:val="left"/>
        <w:rPr>
          <w:rFonts w:hAnsi="Times New Roman"/>
          <w:color w:val="000000"/>
          <w:sz w:val="24"/>
          <w:szCs w:val="24"/>
        </w:rPr>
      </w:pPr>
      <w:r>
        <w:rPr>
          <w:rFonts w:hAnsi="Times New Roman"/>
          <w:color w:val="000000"/>
          <w:sz w:val="24"/>
          <w:szCs w:val="24"/>
        </w:rPr>
        <w:t>地址</w:t>
      </w:r>
      <w:r>
        <w:rPr>
          <w:rFonts w:hAnsi="Times New Roman"/>
          <w:color w:val="000000"/>
          <w:sz w:val="24"/>
          <w:szCs w:val="24"/>
          <w:u w:val="single"/>
        </w:rPr>
        <w:t xml:space="preserve">                     </w:t>
      </w:r>
      <w:r>
        <w:rPr>
          <w:rFonts w:hAnsi="Times New Roman"/>
          <w:color w:val="000000"/>
          <w:sz w:val="24"/>
          <w:szCs w:val="24"/>
        </w:rPr>
        <w:t xml:space="preserve">  传真 </w:t>
      </w:r>
      <w:r>
        <w:rPr>
          <w:rFonts w:hAnsi="Times New Roman"/>
          <w:color w:val="000000"/>
          <w:sz w:val="24"/>
          <w:szCs w:val="24"/>
          <w:u w:val="single"/>
        </w:rPr>
        <w:t xml:space="preserve">                       </w:t>
      </w:r>
      <w:r>
        <w:rPr>
          <w:rFonts w:hAnsi="Times New Roman"/>
          <w:color w:val="000000"/>
          <w:sz w:val="24"/>
          <w:szCs w:val="24"/>
        </w:rPr>
        <w:t xml:space="preserve">     </w:t>
      </w:r>
    </w:p>
    <w:p w14:paraId="28CB4495">
      <w:pPr>
        <w:widowControl/>
        <w:spacing w:line="480" w:lineRule="exact"/>
        <w:ind w:left="420"/>
        <w:jc w:val="left"/>
        <w:rPr>
          <w:rFonts w:hAnsi="Times New Roman"/>
          <w:color w:val="000000"/>
          <w:sz w:val="24"/>
          <w:szCs w:val="24"/>
        </w:rPr>
      </w:pPr>
      <w:r>
        <w:rPr>
          <w:rFonts w:hAnsi="Times New Roman"/>
          <w:color w:val="000000"/>
          <w:sz w:val="24"/>
          <w:szCs w:val="24"/>
        </w:rPr>
        <w:t>电话</w:t>
      </w:r>
      <w:r>
        <w:rPr>
          <w:rFonts w:hAnsi="Times New Roman"/>
          <w:color w:val="000000"/>
          <w:sz w:val="24"/>
          <w:szCs w:val="24"/>
          <w:u w:val="single"/>
        </w:rPr>
        <w:t xml:space="preserve">                     </w:t>
      </w:r>
      <w:r>
        <w:rPr>
          <w:rFonts w:hAnsi="Times New Roman"/>
          <w:color w:val="000000"/>
          <w:sz w:val="24"/>
          <w:szCs w:val="24"/>
        </w:rPr>
        <w:t xml:space="preserve">  电子函件</w:t>
      </w:r>
      <w:r>
        <w:rPr>
          <w:rFonts w:hAnsi="Times New Roman"/>
          <w:color w:val="000000"/>
          <w:sz w:val="24"/>
          <w:szCs w:val="24"/>
          <w:u w:val="single"/>
        </w:rPr>
        <w:t xml:space="preserve">                    </w:t>
      </w:r>
      <w:r>
        <w:rPr>
          <w:rFonts w:hAnsi="Times New Roman"/>
          <w:color w:val="000000"/>
          <w:sz w:val="24"/>
          <w:szCs w:val="24"/>
        </w:rPr>
        <w:t xml:space="preserve">     </w:t>
      </w:r>
    </w:p>
    <w:p w14:paraId="3EC05D3C">
      <w:pPr>
        <w:widowControl/>
        <w:spacing w:line="480" w:lineRule="exact"/>
        <w:ind w:left="420"/>
        <w:jc w:val="left"/>
        <w:rPr>
          <w:rFonts w:hAnsi="Times New Roman"/>
          <w:color w:val="000000"/>
          <w:sz w:val="24"/>
          <w:szCs w:val="24"/>
        </w:rPr>
      </w:pPr>
    </w:p>
    <w:p w14:paraId="73C3DA56">
      <w:pPr>
        <w:widowControl/>
        <w:spacing w:line="480" w:lineRule="exact"/>
        <w:ind w:left="420"/>
        <w:jc w:val="left"/>
        <w:rPr>
          <w:rFonts w:hAnsi="Times New Roman"/>
          <w:color w:val="000000"/>
          <w:sz w:val="24"/>
          <w:szCs w:val="24"/>
        </w:rPr>
      </w:pPr>
      <w:r>
        <w:rPr>
          <w:rFonts w:hAnsi="Times New Roman"/>
          <w:color w:val="000000"/>
          <w:sz w:val="24"/>
          <w:szCs w:val="24"/>
        </w:rPr>
        <w:t>投标人代表（签字）</w:t>
      </w:r>
      <w:r>
        <w:rPr>
          <w:rFonts w:hAnsi="Times New Roman"/>
          <w:color w:val="000000"/>
          <w:sz w:val="24"/>
          <w:szCs w:val="24"/>
          <w:u w:val="single"/>
        </w:rPr>
        <w:t xml:space="preserve">                            </w:t>
      </w:r>
    </w:p>
    <w:p w14:paraId="4757E124">
      <w:pPr>
        <w:widowControl/>
        <w:spacing w:line="480" w:lineRule="exact"/>
        <w:ind w:left="420"/>
        <w:jc w:val="left"/>
        <w:rPr>
          <w:rFonts w:hAnsi="Times New Roman"/>
          <w:color w:val="000000"/>
          <w:sz w:val="24"/>
          <w:szCs w:val="24"/>
        </w:rPr>
      </w:pPr>
      <w:r>
        <w:rPr>
          <w:rFonts w:hAnsi="Times New Roman"/>
          <w:color w:val="000000"/>
          <w:sz w:val="24"/>
          <w:szCs w:val="24"/>
        </w:rPr>
        <w:t>投标人名称</w:t>
      </w:r>
      <w:r>
        <w:rPr>
          <w:rFonts w:hAnsi="Times New Roman"/>
          <w:color w:val="000000"/>
          <w:sz w:val="24"/>
          <w:szCs w:val="24"/>
          <w:u w:val="single"/>
        </w:rPr>
        <w:t xml:space="preserve">                                </w:t>
      </w:r>
    </w:p>
    <w:p w14:paraId="142083F6">
      <w:pPr>
        <w:widowControl/>
        <w:spacing w:line="480" w:lineRule="exact"/>
        <w:ind w:left="420"/>
        <w:jc w:val="left"/>
        <w:rPr>
          <w:rFonts w:hAnsi="Times New Roman"/>
          <w:color w:val="000000"/>
          <w:sz w:val="24"/>
          <w:szCs w:val="24"/>
        </w:rPr>
      </w:pPr>
      <w:r>
        <w:rPr>
          <w:rFonts w:hAnsi="Times New Roman"/>
          <w:color w:val="000000"/>
          <w:sz w:val="24"/>
          <w:szCs w:val="24"/>
        </w:rPr>
        <w:t>公章</w:t>
      </w:r>
      <w:r>
        <w:rPr>
          <w:rFonts w:hAnsi="Times New Roman"/>
          <w:color w:val="000000"/>
          <w:sz w:val="24"/>
          <w:szCs w:val="24"/>
          <w:u w:val="single"/>
        </w:rPr>
        <w:t xml:space="preserve">                                      </w:t>
      </w:r>
    </w:p>
    <w:p w14:paraId="592A152C">
      <w:pPr>
        <w:widowControl/>
        <w:spacing w:line="480" w:lineRule="exact"/>
        <w:ind w:left="420"/>
        <w:jc w:val="left"/>
        <w:rPr>
          <w:rFonts w:hAnsi="Times New Roman"/>
          <w:color w:val="000000"/>
          <w:sz w:val="24"/>
          <w:szCs w:val="24"/>
        </w:rPr>
      </w:pPr>
      <w:r>
        <w:rPr>
          <w:rFonts w:hAnsi="Times New Roman"/>
          <w:color w:val="000000"/>
          <w:sz w:val="24"/>
          <w:szCs w:val="24"/>
        </w:rPr>
        <w:t>日期</w:t>
      </w:r>
      <w:r>
        <w:rPr>
          <w:rFonts w:hAnsi="Times New Roman"/>
          <w:color w:val="000000"/>
          <w:sz w:val="24"/>
          <w:szCs w:val="24"/>
          <w:u w:val="single"/>
        </w:rPr>
        <w:t xml:space="preserve">                                      </w:t>
      </w:r>
    </w:p>
    <w:p w14:paraId="28C1F56B">
      <w:pPr>
        <w:rPr>
          <w:rFonts w:ascii="黑体" w:hAnsi="Calibri" w:eastAsia="黑体" w:cs="Times New Roman"/>
          <w:color w:val="000000"/>
          <w:sz w:val="24"/>
          <w:szCs w:val="24"/>
        </w:rPr>
      </w:pPr>
    </w:p>
    <w:p w14:paraId="69DD60BE">
      <w:pPr>
        <w:pStyle w:val="7"/>
        <w:rPr>
          <w:rFonts w:ascii="黑体" w:hAnsi="Calibri" w:eastAsia="黑体" w:cs="Times New Roman"/>
          <w:color w:val="000000"/>
          <w:sz w:val="24"/>
          <w:szCs w:val="24"/>
        </w:rPr>
      </w:pPr>
    </w:p>
    <w:p w14:paraId="3CA332A9">
      <w:pPr>
        <w:pStyle w:val="7"/>
        <w:rPr>
          <w:rFonts w:ascii="黑体" w:hAnsi="Calibri" w:eastAsia="黑体" w:cs="Times New Roman"/>
          <w:color w:val="000000"/>
          <w:sz w:val="24"/>
          <w:szCs w:val="24"/>
        </w:rPr>
      </w:pPr>
    </w:p>
    <w:p w14:paraId="0E68CCB8">
      <w:pPr>
        <w:pStyle w:val="7"/>
        <w:rPr>
          <w:rFonts w:ascii="黑体" w:hAnsi="Calibri" w:eastAsia="黑体" w:cs="Times New Roman"/>
          <w:color w:val="000000"/>
          <w:sz w:val="24"/>
          <w:szCs w:val="24"/>
        </w:rPr>
      </w:pPr>
    </w:p>
    <w:p w14:paraId="719F9883">
      <w:pPr>
        <w:pStyle w:val="7"/>
        <w:rPr>
          <w:rFonts w:ascii="黑体" w:hAnsi="Calibri" w:eastAsia="黑体" w:cs="Times New Roman"/>
          <w:color w:val="000000"/>
          <w:sz w:val="24"/>
          <w:szCs w:val="24"/>
        </w:rPr>
      </w:pPr>
    </w:p>
    <w:p w14:paraId="13392F15">
      <w:pPr>
        <w:rPr>
          <w:rFonts w:ascii="黑体" w:hAnsi="Calibri" w:eastAsia="黑体" w:cs="Times New Roman"/>
          <w:color w:val="000000"/>
          <w:sz w:val="24"/>
          <w:szCs w:val="24"/>
        </w:rPr>
      </w:pPr>
    </w:p>
    <w:p w14:paraId="78E5B441">
      <w:pPr>
        <w:spacing w:line="360" w:lineRule="auto"/>
        <w:ind w:left="795"/>
        <w:rPr>
          <w:rFonts w:hint="eastAsia"/>
        </w:rPr>
      </w:pPr>
    </w:p>
    <w:p w14:paraId="5CE02F3D">
      <w:pPr>
        <w:widowControl/>
        <w:jc w:val="left"/>
      </w:pPr>
      <w:r>
        <w:rPr>
          <w:rFonts w:hint="eastAsia" w:eastAsia="黑体"/>
          <w:b/>
          <w:bCs/>
          <w:sz w:val="28"/>
        </w:rPr>
        <w:br w:type="page"/>
      </w:r>
      <w:r>
        <w:rPr>
          <w:color w:val="000000"/>
          <w:sz w:val="24"/>
          <w:szCs w:val="24"/>
        </w:rPr>
        <w:t>附件2</w:t>
      </w:r>
      <w:r>
        <w:rPr>
          <w:b/>
          <w:sz w:val="24"/>
          <w:szCs w:val="24"/>
        </w:rPr>
        <w:t>：</w:t>
      </w:r>
      <w:r>
        <w:rPr>
          <w:rFonts w:ascii="黑体" w:hAnsi="Times New Roman" w:eastAsia="黑体"/>
          <w:b/>
          <w:sz w:val="32"/>
        </w:rPr>
        <w:t xml:space="preserve">              </w:t>
      </w:r>
      <w:r>
        <w:rPr>
          <w:b/>
          <w:sz w:val="32"/>
        </w:rPr>
        <w:t xml:space="preserve"> 开标一览表</w:t>
      </w:r>
      <w:r>
        <w:rPr>
          <w:sz w:val="32"/>
        </w:rPr>
        <w:t xml:space="preserve"> </w:t>
      </w:r>
      <w:r>
        <w:t xml:space="preserve"> </w:t>
      </w:r>
    </w:p>
    <w:tbl>
      <w:tblPr>
        <w:tblStyle w:val="14"/>
        <w:tblW w:w="0" w:type="auto"/>
        <w:jc w:val="center"/>
        <w:tblLayout w:type="fixed"/>
        <w:tblCellMar>
          <w:top w:w="0" w:type="dxa"/>
          <w:left w:w="0" w:type="dxa"/>
          <w:bottom w:w="0" w:type="dxa"/>
          <w:right w:w="0" w:type="dxa"/>
        </w:tblCellMar>
      </w:tblPr>
      <w:tblGrid>
        <w:gridCol w:w="3694"/>
        <w:gridCol w:w="4794"/>
      </w:tblGrid>
      <w:tr w14:paraId="2ABCCBAE">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0E11CE22">
            <w:pPr>
              <w:widowControl/>
              <w:spacing w:before="120"/>
              <w:jc w:val="center"/>
              <w:rPr>
                <w:color w:val="000000"/>
                <w:sz w:val="24"/>
                <w:szCs w:val="24"/>
              </w:rPr>
            </w:pPr>
            <w:r>
              <w:rPr>
                <w:color w:val="000000"/>
                <w:sz w:val="24"/>
                <w:szCs w:val="24"/>
              </w:rPr>
              <w:t>投标单位</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75CF0A26">
            <w:pPr>
              <w:widowControl/>
              <w:spacing w:before="120"/>
              <w:jc w:val="center"/>
            </w:pPr>
          </w:p>
        </w:tc>
      </w:tr>
      <w:tr w14:paraId="554D6C20">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1710836A">
            <w:pPr>
              <w:widowControl/>
              <w:spacing w:before="120"/>
              <w:jc w:val="center"/>
              <w:rPr>
                <w:color w:val="000000"/>
                <w:sz w:val="24"/>
                <w:szCs w:val="24"/>
              </w:rPr>
            </w:pPr>
            <w:r>
              <w:rPr>
                <w:color w:val="000000"/>
                <w:sz w:val="24"/>
                <w:szCs w:val="24"/>
              </w:rPr>
              <w:t>项目名称</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32753C9C">
            <w:pPr>
              <w:widowControl/>
              <w:spacing w:before="120"/>
              <w:jc w:val="center"/>
              <w:rPr>
                <w:rFonts w:hint="default" w:eastAsia="宋体"/>
                <w:color w:val="000000"/>
                <w:sz w:val="24"/>
                <w:szCs w:val="24"/>
                <w:lang w:val="en-US" w:eastAsia="zh-CN"/>
              </w:rPr>
            </w:pPr>
            <w:r>
              <w:rPr>
                <w:rFonts w:hint="eastAsia"/>
                <w:color w:val="000000"/>
                <w:sz w:val="24"/>
                <w:szCs w:val="24"/>
                <w:lang w:val="en-US" w:eastAsia="zh-CN"/>
              </w:rPr>
              <w:t>事故风机与报警装置联锁改造项目</w:t>
            </w:r>
          </w:p>
        </w:tc>
      </w:tr>
      <w:tr w14:paraId="40D73223">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3C5C1D42">
            <w:pPr>
              <w:widowControl/>
              <w:spacing w:before="120"/>
              <w:jc w:val="center"/>
              <w:rPr>
                <w:rFonts w:hint="eastAsia" w:eastAsia="宋体"/>
                <w:color w:val="000000"/>
                <w:sz w:val="24"/>
                <w:szCs w:val="24"/>
                <w:lang w:eastAsia="zh-CN"/>
              </w:rPr>
            </w:pPr>
            <w:r>
              <w:rPr>
                <w:color w:val="000000"/>
                <w:sz w:val="24"/>
                <w:szCs w:val="24"/>
              </w:rPr>
              <w:t>项目总报价</w:t>
            </w:r>
            <w:r>
              <w:rPr>
                <w:rFonts w:hint="eastAsia"/>
                <w:color w:val="000000"/>
                <w:sz w:val="24"/>
                <w:szCs w:val="24"/>
                <w:lang w:eastAsia="zh-CN"/>
              </w:rPr>
              <w:t>（</w:t>
            </w:r>
            <w:r>
              <w:rPr>
                <w:rFonts w:hint="eastAsia"/>
                <w:color w:val="000000"/>
                <w:sz w:val="24"/>
                <w:szCs w:val="24"/>
                <w:lang w:val="en-US" w:eastAsia="zh-CN"/>
              </w:rPr>
              <w:t>含税价、税率</w:t>
            </w:r>
            <w:r>
              <w:rPr>
                <w:rFonts w:hint="eastAsia"/>
                <w:color w:val="000000"/>
                <w:sz w:val="24"/>
                <w:szCs w:val="24"/>
                <w:lang w:eastAsia="zh-CN"/>
              </w:rPr>
              <w:t>）</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65D0ACFF">
            <w:pPr>
              <w:widowControl/>
              <w:spacing w:before="120"/>
              <w:jc w:val="left"/>
              <w:rPr>
                <w:rFonts w:hint="default" w:eastAsia="宋体"/>
                <w:color w:val="000000"/>
                <w:sz w:val="24"/>
                <w:szCs w:val="24"/>
                <w:lang w:val="en-US" w:eastAsia="zh-CN"/>
              </w:rPr>
            </w:pPr>
            <w:r>
              <w:rPr>
                <w:rFonts w:hint="eastAsia"/>
                <w:color w:val="FF0000"/>
                <w:sz w:val="24"/>
                <w:szCs w:val="24"/>
                <w:lang w:val="en-US" w:eastAsia="zh-CN"/>
              </w:rPr>
              <w:t>含税价：xxx.xx元    （大写：）</w:t>
            </w:r>
            <w:r>
              <w:rPr>
                <w:rFonts w:hint="eastAsia"/>
                <w:color w:val="FF0000"/>
                <w:sz w:val="24"/>
                <w:szCs w:val="24"/>
                <w:lang w:val="en-US" w:eastAsia="zh-CN"/>
              </w:rPr>
              <w:br w:type="textWrapping"/>
            </w:r>
            <w:r>
              <w:rPr>
                <w:rFonts w:hint="eastAsia"/>
                <w:color w:val="FF0000"/>
                <w:sz w:val="24"/>
                <w:szCs w:val="24"/>
                <w:lang w:val="en-US" w:eastAsia="zh-CN"/>
              </w:rPr>
              <w:t>税率：</w:t>
            </w:r>
          </w:p>
        </w:tc>
      </w:tr>
      <w:tr w14:paraId="6E943B57">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4D9E9370">
            <w:pPr>
              <w:widowControl/>
              <w:spacing w:before="120"/>
              <w:jc w:val="center"/>
              <w:rPr>
                <w:color w:val="000000"/>
                <w:sz w:val="24"/>
                <w:szCs w:val="24"/>
              </w:rPr>
            </w:pPr>
            <w:r>
              <w:rPr>
                <w:color w:val="000000"/>
                <w:sz w:val="24"/>
                <w:szCs w:val="24"/>
              </w:rPr>
              <w:t>对招标人的其他承诺</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78333555">
            <w:pPr>
              <w:widowControl/>
              <w:spacing w:before="120"/>
              <w:jc w:val="center"/>
              <w:rPr>
                <w:color w:val="000000"/>
                <w:sz w:val="24"/>
                <w:szCs w:val="24"/>
              </w:rPr>
            </w:pPr>
          </w:p>
        </w:tc>
      </w:tr>
      <w:tr w14:paraId="04C7C6AA">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4F6311B7">
            <w:pPr>
              <w:widowControl/>
              <w:spacing w:before="120"/>
              <w:jc w:val="center"/>
              <w:rPr>
                <w:color w:val="000000"/>
                <w:sz w:val="24"/>
                <w:szCs w:val="24"/>
              </w:rPr>
            </w:pPr>
            <w:r>
              <w:rPr>
                <w:color w:val="000000"/>
                <w:sz w:val="24"/>
                <w:szCs w:val="24"/>
              </w:rPr>
              <w:t>对招标文件的认同程度</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6B7380F7">
            <w:pPr>
              <w:widowControl/>
              <w:spacing w:before="120"/>
              <w:jc w:val="center"/>
              <w:rPr>
                <w:color w:val="000000"/>
                <w:sz w:val="24"/>
                <w:szCs w:val="24"/>
              </w:rPr>
            </w:pPr>
          </w:p>
        </w:tc>
      </w:tr>
      <w:tr w14:paraId="3E6EC6B5">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2B7CDC87">
            <w:pPr>
              <w:widowControl/>
              <w:spacing w:before="120"/>
              <w:jc w:val="center"/>
              <w:rPr>
                <w:color w:val="000000"/>
                <w:sz w:val="24"/>
                <w:szCs w:val="24"/>
              </w:rPr>
            </w:pPr>
            <w:r>
              <w:rPr>
                <w:color w:val="000000"/>
                <w:sz w:val="24"/>
                <w:szCs w:val="24"/>
              </w:rPr>
              <w:t>主要技术措施提示</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378D33D4">
            <w:pPr>
              <w:widowControl/>
              <w:spacing w:before="120"/>
              <w:jc w:val="center"/>
              <w:rPr>
                <w:color w:val="000000"/>
                <w:sz w:val="24"/>
                <w:szCs w:val="24"/>
              </w:rPr>
            </w:pPr>
          </w:p>
        </w:tc>
      </w:tr>
      <w:tr w14:paraId="53ECF8D6">
        <w:tblPrEx>
          <w:tblCellMar>
            <w:top w:w="0" w:type="dxa"/>
            <w:left w:w="0" w:type="dxa"/>
            <w:bottom w:w="0" w:type="dxa"/>
            <w:right w:w="0" w:type="dxa"/>
          </w:tblCellMar>
        </w:tblPrEx>
        <w:trPr>
          <w:trHeight w:val="567" w:hRule="atLeast"/>
          <w:jc w:val="center"/>
        </w:trPr>
        <w:tc>
          <w:tcPr>
            <w:tcW w:w="36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0A2006F4">
            <w:pPr>
              <w:widowControl/>
              <w:spacing w:before="120"/>
              <w:jc w:val="center"/>
              <w:rPr>
                <w:color w:val="000000"/>
                <w:sz w:val="24"/>
                <w:szCs w:val="24"/>
              </w:rPr>
            </w:pPr>
            <w:r>
              <w:rPr>
                <w:color w:val="000000"/>
                <w:sz w:val="24"/>
                <w:szCs w:val="24"/>
              </w:rPr>
              <w:t>合理化建议及优惠条件</w:t>
            </w:r>
          </w:p>
        </w:tc>
        <w:tc>
          <w:tcPr>
            <w:tcW w:w="4794" w:type="dxa"/>
            <w:tcBorders>
              <w:top w:val="single" w:color="000000" w:sz="6" w:space="0"/>
              <w:left w:val="single" w:color="000000" w:sz="6" w:space="0"/>
              <w:bottom w:val="single" w:color="000000" w:sz="6" w:space="0"/>
              <w:right w:val="single" w:color="000000" w:sz="6" w:space="0"/>
            </w:tcBorders>
            <w:noWrap w:val="0"/>
            <w:tcMar>
              <w:top w:w="0" w:type="dxa"/>
              <w:left w:w="28" w:type="dxa"/>
              <w:bottom w:w="0" w:type="dxa"/>
              <w:right w:w="28" w:type="dxa"/>
            </w:tcMar>
            <w:vAlign w:val="center"/>
          </w:tcPr>
          <w:p w14:paraId="110DEA6F">
            <w:pPr>
              <w:widowControl/>
              <w:spacing w:before="120"/>
              <w:jc w:val="center"/>
              <w:rPr>
                <w:color w:val="000000"/>
                <w:sz w:val="24"/>
                <w:szCs w:val="24"/>
              </w:rPr>
            </w:pPr>
          </w:p>
        </w:tc>
      </w:tr>
    </w:tbl>
    <w:p w14:paraId="6C0F5D30">
      <w:pPr>
        <w:widowControl/>
        <w:spacing w:before="120"/>
        <w:jc w:val="center"/>
        <w:rPr>
          <w:color w:val="000000"/>
          <w:sz w:val="24"/>
          <w:szCs w:val="24"/>
        </w:rPr>
      </w:pPr>
      <w:r>
        <w:rPr>
          <w:color w:val="000000"/>
          <w:sz w:val="24"/>
          <w:szCs w:val="24"/>
        </w:rPr>
        <w:t xml:space="preserve">           </w:t>
      </w:r>
    </w:p>
    <w:p w14:paraId="6D333849">
      <w:r>
        <w:rPr>
          <w:rFonts w:hint="eastAsia" w:ascii="微软雅黑" w:hAnsi="微软雅黑" w:eastAsia="微软雅黑" w:cs="微软雅黑"/>
          <w:i w:val="0"/>
          <w:iCs w:val="0"/>
          <w:caps w:val="0"/>
          <w:color w:val="FF0000"/>
          <w:spacing w:val="0"/>
          <w:sz w:val="18"/>
          <w:szCs w:val="18"/>
          <w:highlight w:val="yellow"/>
          <w:shd w:val="clear" w:color="auto" w:fill="FFFFFF"/>
          <w:lang w:val="en-US" w:eastAsia="zh-CN"/>
        </w:rPr>
        <w:t>注意事项：</w:t>
      </w:r>
      <w:r>
        <w:rPr>
          <w:rFonts w:hint="eastAsia" w:ascii="微软雅黑" w:hAnsi="微软雅黑" w:eastAsia="微软雅黑" w:cs="微软雅黑"/>
          <w:i w:val="0"/>
          <w:iCs w:val="0"/>
          <w:caps w:val="0"/>
          <w:color w:val="FF0000"/>
          <w:spacing w:val="0"/>
          <w:sz w:val="18"/>
          <w:szCs w:val="18"/>
          <w:highlight w:val="yellow"/>
          <w:shd w:val="clear" w:color="auto" w:fill="FFFFFF"/>
          <w:lang w:eastAsia="zh-CN"/>
        </w:rPr>
        <w:t>《</w:t>
      </w:r>
      <w:r>
        <w:rPr>
          <w:rFonts w:ascii="微软雅黑" w:hAnsi="微软雅黑" w:eastAsia="微软雅黑" w:cs="微软雅黑"/>
          <w:i w:val="0"/>
          <w:iCs w:val="0"/>
          <w:caps w:val="0"/>
          <w:color w:val="FF0000"/>
          <w:spacing w:val="0"/>
          <w:sz w:val="18"/>
          <w:szCs w:val="18"/>
          <w:highlight w:val="yellow"/>
          <w:shd w:val="clear" w:color="auto" w:fill="FFFFFF"/>
        </w:rPr>
        <w:t>开标一览表</w:t>
      </w:r>
      <w:r>
        <w:rPr>
          <w:rFonts w:hint="eastAsia" w:ascii="微软雅黑" w:hAnsi="微软雅黑" w:eastAsia="微软雅黑" w:cs="微软雅黑"/>
          <w:i w:val="0"/>
          <w:iCs w:val="0"/>
          <w:caps w:val="0"/>
          <w:color w:val="FF0000"/>
          <w:spacing w:val="0"/>
          <w:sz w:val="18"/>
          <w:szCs w:val="18"/>
          <w:highlight w:val="yellow"/>
          <w:shd w:val="clear" w:color="auto" w:fill="FFFFFF"/>
          <w:lang w:eastAsia="zh-CN"/>
        </w:rPr>
        <w:t>》</w:t>
      </w:r>
      <w:r>
        <w:rPr>
          <w:rFonts w:ascii="微软雅黑" w:hAnsi="微软雅黑" w:eastAsia="微软雅黑" w:cs="微软雅黑"/>
          <w:i w:val="0"/>
          <w:iCs w:val="0"/>
          <w:caps w:val="0"/>
          <w:color w:val="FF0000"/>
          <w:spacing w:val="0"/>
          <w:sz w:val="18"/>
          <w:szCs w:val="18"/>
          <w:highlight w:val="yellow"/>
          <w:shd w:val="clear" w:color="auto" w:fill="FFFFFF"/>
        </w:rPr>
        <w:t>中项目总报价， 应包含大小写</w:t>
      </w:r>
      <w:r>
        <w:rPr>
          <w:rFonts w:hint="eastAsia" w:ascii="微软雅黑" w:hAnsi="微软雅黑" w:eastAsia="微软雅黑" w:cs="微软雅黑"/>
          <w:i w:val="0"/>
          <w:iCs w:val="0"/>
          <w:caps w:val="0"/>
          <w:color w:val="FF0000"/>
          <w:spacing w:val="0"/>
          <w:sz w:val="18"/>
          <w:szCs w:val="18"/>
          <w:highlight w:val="yellow"/>
          <w:shd w:val="clear" w:color="auto" w:fill="FFFFFF"/>
          <w:lang w:eastAsia="zh-CN"/>
        </w:rPr>
        <w:t>、</w:t>
      </w:r>
      <w:r>
        <w:rPr>
          <w:rFonts w:hint="eastAsia" w:ascii="微软雅黑" w:hAnsi="微软雅黑" w:eastAsia="微软雅黑" w:cs="微软雅黑"/>
          <w:i w:val="0"/>
          <w:iCs w:val="0"/>
          <w:caps w:val="0"/>
          <w:color w:val="FF0000"/>
          <w:spacing w:val="0"/>
          <w:sz w:val="18"/>
          <w:szCs w:val="18"/>
          <w:highlight w:val="yellow"/>
          <w:shd w:val="clear" w:color="auto" w:fill="FFFFFF"/>
          <w:lang w:val="en-US" w:eastAsia="zh-CN"/>
        </w:rPr>
        <w:t>税率</w:t>
      </w:r>
      <w:r>
        <w:rPr>
          <w:rFonts w:ascii="微软雅黑" w:hAnsi="微软雅黑" w:eastAsia="微软雅黑" w:cs="微软雅黑"/>
          <w:i w:val="0"/>
          <w:iCs w:val="0"/>
          <w:caps w:val="0"/>
          <w:color w:val="FF0000"/>
          <w:spacing w:val="0"/>
          <w:sz w:val="18"/>
          <w:szCs w:val="18"/>
          <w:highlight w:val="yellow"/>
          <w:shd w:val="clear" w:color="auto" w:fill="FFFFFF"/>
        </w:rPr>
        <w:t>；</w:t>
      </w:r>
    </w:p>
    <w:p w14:paraId="2EA0D446">
      <w:pPr>
        <w:widowControl/>
        <w:spacing w:before="120" w:line="480" w:lineRule="exact"/>
        <w:jc w:val="center"/>
        <w:rPr>
          <w:color w:val="000000"/>
          <w:sz w:val="24"/>
          <w:szCs w:val="24"/>
        </w:rPr>
      </w:pPr>
    </w:p>
    <w:p w14:paraId="184816F0">
      <w:pPr>
        <w:widowControl/>
        <w:spacing w:before="120" w:line="480" w:lineRule="exact"/>
        <w:jc w:val="center"/>
        <w:rPr>
          <w:color w:val="000000"/>
          <w:sz w:val="24"/>
          <w:szCs w:val="24"/>
        </w:rPr>
      </w:pPr>
      <w:r>
        <w:rPr>
          <w:rFonts w:hint="eastAsia"/>
          <w:color w:val="000000"/>
          <w:sz w:val="24"/>
          <w:szCs w:val="24"/>
        </w:rPr>
        <w:t xml:space="preserve">                                    </w:t>
      </w:r>
      <w:r>
        <w:rPr>
          <w:color w:val="000000"/>
          <w:sz w:val="24"/>
          <w:szCs w:val="24"/>
        </w:rPr>
        <w:t>投标单位：（盖章）</w:t>
      </w:r>
    </w:p>
    <w:p w14:paraId="0C5133BD">
      <w:pPr>
        <w:widowControl/>
        <w:spacing w:before="120" w:line="480" w:lineRule="exact"/>
        <w:jc w:val="center"/>
        <w:rPr>
          <w:color w:val="000000"/>
          <w:sz w:val="24"/>
          <w:szCs w:val="24"/>
        </w:rPr>
      </w:pPr>
      <w:r>
        <w:rPr>
          <w:rFonts w:hint="eastAsia"/>
          <w:color w:val="000000"/>
          <w:sz w:val="24"/>
          <w:szCs w:val="24"/>
        </w:rPr>
        <w:t xml:space="preserve">                                           </w:t>
      </w:r>
      <w:r>
        <w:rPr>
          <w:color w:val="000000"/>
          <w:sz w:val="24"/>
          <w:szCs w:val="24"/>
        </w:rPr>
        <w:t>法定代表人：（签字、盖章）</w:t>
      </w:r>
    </w:p>
    <w:p w14:paraId="33628374">
      <w:pPr>
        <w:widowControl/>
        <w:spacing w:before="120" w:line="480" w:lineRule="exact"/>
        <w:jc w:val="center"/>
        <w:rPr>
          <w:color w:val="000000"/>
          <w:sz w:val="24"/>
          <w:szCs w:val="24"/>
        </w:rPr>
      </w:pPr>
      <w:r>
        <w:rPr>
          <w:rFonts w:hint="eastAsia"/>
          <w:color w:val="000000"/>
          <w:sz w:val="24"/>
          <w:szCs w:val="24"/>
        </w:rPr>
        <w:t xml:space="preserve">                                          </w:t>
      </w:r>
      <w:r>
        <w:rPr>
          <w:color w:val="000000"/>
          <w:sz w:val="24"/>
          <w:szCs w:val="24"/>
        </w:rPr>
        <w:t>日期：    年    月    日</w:t>
      </w:r>
    </w:p>
    <w:p w14:paraId="1235F28C">
      <w:pPr>
        <w:widowControl/>
        <w:spacing w:line="360" w:lineRule="auto"/>
        <w:rPr>
          <w:sz w:val="32"/>
        </w:rPr>
      </w:pPr>
      <w:r>
        <w:br w:type="page"/>
      </w:r>
      <w:r>
        <w:rPr>
          <w:color w:val="000000"/>
          <w:sz w:val="24"/>
          <w:szCs w:val="24"/>
        </w:rPr>
        <w:t>附件3</w:t>
      </w:r>
      <w:r>
        <w:rPr>
          <w:b/>
          <w:sz w:val="24"/>
          <w:szCs w:val="24"/>
        </w:rPr>
        <w:t>：</w:t>
      </w:r>
      <w:r>
        <w:rPr>
          <w:rFonts w:ascii="黑体" w:hAnsi="Times New Roman" w:eastAsia="黑体"/>
          <w:b/>
          <w:sz w:val="32"/>
        </w:rPr>
        <w:t xml:space="preserve">             </w:t>
      </w:r>
      <w:r>
        <w:rPr>
          <w:b/>
          <w:sz w:val="32"/>
        </w:rPr>
        <w:t xml:space="preserve">  投标报价明细表</w:t>
      </w:r>
    </w:p>
    <w:p w14:paraId="349D84CD">
      <w:pPr>
        <w:widowControl/>
        <w:snapToGrid w:val="0"/>
        <w:spacing w:line="460" w:lineRule="exact"/>
        <w:ind w:firstLine="480"/>
        <w:jc w:val="center"/>
        <w:rPr>
          <w:sz w:val="24"/>
          <w:szCs w:val="24"/>
        </w:rPr>
      </w:pPr>
      <w:r>
        <w:rPr>
          <w:rFonts w:hint="eastAsia"/>
          <w:sz w:val="24"/>
          <w:szCs w:val="24"/>
        </w:rPr>
        <w:t xml:space="preserve">  </w:t>
      </w:r>
      <w:r>
        <w:rPr>
          <w:rFonts w:hint="eastAsia"/>
          <w:sz w:val="24"/>
          <w:szCs w:val="24"/>
          <w:lang w:val="en-US" w:eastAsia="zh-CN"/>
        </w:rPr>
        <w:t xml:space="preserve">          </w:t>
      </w:r>
      <w:r>
        <w:rPr>
          <w:sz w:val="24"/>
          <w:szCs w:val="24"/>
        </w:rPr>
        <w:t>投标设备（或材料）配置一览表           单位：元</w:t>
      </w:r>
    </w:p>
    <w:tbl>
      <w:tblPr>
        <w:tblStyle w:val="14"/>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6"/>
        <w:gridCol w:w="1193"/>
        <w:gridCol w:w="1252"/>
        <w:gridCol w:w="1095"/>
        <w:gridCol w:w="660"/>
        <w:gridCol w:w="645"/>
        <w:gridCol w:w="630"/>
        <w:gridCol w:w="945"/>
        <w:gridCol w:w="959"/>
        <w:gridCol w:w="1314"/>
      </w:tblGrid>
      <w:tr w14:paraId="71C7C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F9A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FE4E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安装位置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B4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EC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规格型号</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9A00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品牌</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EB1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D5A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BD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未税单价(元）</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F80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未税小计(元)</w:t>
            </w: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0D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备注</w:t>
            </w:r>
          </w:p>
        </w:tc>
      </w:tr>
      <w:tr w14:paraId="5CA3E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06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FB8C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莱芜污水站(压泥间、污泥浓缩、临时存放间)</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29E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E1B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65C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E8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CCE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F1B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D4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855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7E19F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28D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380BA">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9B7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EB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C63C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57E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E0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B0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C7B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2DF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0E0EE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02D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0CD1">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3A8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普通金属穿线管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5B1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40B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94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C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C6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6A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3F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3294D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A1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C36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莱芜综合站房锅炉房</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09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BA0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D7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661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8EB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087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CC7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FACE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47A4E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9F18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8FF94">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2E4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33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21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D8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C44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AD7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9A2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5AB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6BF83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5B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F354C">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A15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9860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F3DD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465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4D2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604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147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700D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59D55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6CC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DC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党家污水站(压泥间、污泥干化)</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A2B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EB91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3AAC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77EA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A1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CA95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C75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DB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176C3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990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884F5">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6E5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20FB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E382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E3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31F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8A44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07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6029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15EE2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7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06BCD">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DED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普通金属穿线管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74F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C23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88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E6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0E7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EA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988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5F05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4B22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FCAAF">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D721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排烟风机</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E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依据现有排风机尺寸进行更换</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9D8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044F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F22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81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482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86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含拆除安装</w:t>
            </w:r>
          </w:p>
        </w:tc>
      </w:tr>
      <w:tr w14:paraId="4C819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755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272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党家预处理(压泥间、预处理)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1EC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33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E0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B696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1FA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BFF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2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A6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004F7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5C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2742">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11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F18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D13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50E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6FD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1E5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AF2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DBF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6CB5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B74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3B81A">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817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普通金属穿线管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08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4C8A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7813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2A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08D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03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C70F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311CC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335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8EA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党家天然气站</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9B5C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3FC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804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22A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073E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7294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E6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8116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0DF4B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F944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995E1">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6B8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5B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A9B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78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183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0785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9826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2E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1C458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36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67C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党家车架阀门间</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AC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B32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514A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51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9E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73F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6A3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229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4DC31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CA7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FAA89">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DBA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A881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025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BD2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9F1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635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D85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9B2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2111F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B866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6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339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党家锅炉房</w:t>
            </w:r>
            <w:r>
              <w:rPr>
                <w:rStyle w:val="75"/>
                <w:rFonts w:hint="eastAsia" w:ascii="宋体" w:hAnsi="宋体" w:eastAsia="宋体" w:cs="宋体"/>
                <w:sz w:val="24"/>
                <w:szCs w:val="24"/>
                <w:lang w:val="en-US" w:eastAsia="zh-CN" w:bidi="ar"/>
              </w:rPr>
              <w:t>(</w:t>
            </w:r>
            <w:r>
              <w:rPr>
                <w:rStyle w:val="76"/>
                <w:rFonts w:hint="eastAsia" w:ascii="宋体" w:hAnsi="宋体" w:eastAsia="宋体" w:cs="宋体"/>
                <w:sz w:val="24"/>
                <w:szCs w:val="24"/>
                <w:lang w:val="en-US" w:eastAsia="zh-CN" w:bidi="ar"/>
              </w:rPr>
              <w:t>蒸汽锅炉、热水锅炉</w:t>
            </w:r>
            <w:r>
              <w:rPr>
                <w:rStyle w:val="75"/>
                <w:rFonts w:hint="eastAsia" w:ascii="宋体" w:hAnsi="宋体" w:eastAsia="宋体" w:cs="宋体"/>
                <w:sz w:val="24"/>
                <w:szCs w:val="24"/>
                <w:lang w:val="en-US" w:eastAsia="zh-CN" w:bidi="ar"/>
              </w:rPr>
              <w:t xml:space="preserve"> )</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29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联动控制箱</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B9A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500x600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4E26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B2A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E85D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C5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50B5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41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含调试安装</w:t>
            </w:r>
          </w:p>
        </w:tc>
      </w:tr>
      <w:tr w14:paraId="4A5B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A7D9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BB4DE">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7B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线缆</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219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RVV3X1</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60E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820B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6F0B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9A6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C28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AB4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7258B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714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B244F">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814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镀锌穿线管</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B7A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DN20</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4E1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58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208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300</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1CC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ED09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01E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7207F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77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6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FF0E9">
            <w:pPr>
              <w:jc w:val="center"/>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BE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防爆排烟风机</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53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依据现有排风机尺寸进行更换</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52D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2FBE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D99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8B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DB1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3D5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含拆除安装</w:t>
            </w:r>
          </w:p>
        </w:tc>
      </w:tr>
      <w:tr w14:paraId="3379F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F43F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F2E5A">
            <w:pPr>
              <w:jc w:val="left"/>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7A0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辅材</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D53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切割片、卡子、接地线</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3A3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D522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6C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43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570E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AC3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含安装</w:t>
            </w:r>
          </w:p>
        </w:tc>
      </w:tr>
      <w:tr w14:paraId="6C946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41A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6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B8611">
            <w:pPr>
              <w:jc w:val="left"/>
              <w:rPr>
                <w:rFonts w:hint="eastAsia" w:ascii="宋体" w:hAnsi="宋体" w:eastAsia="宋体" w:cs="宋体"/>
                <w:i w:val="0"/>
                <w:iCs w:val="0"/>
                <w:color w:val="000000"/>
                <w:sz w:val="24"/>
                <w:szCs w:val="24"/>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D17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租赁液压升降车</w:t>
            </w:r>
          </w:p>
        </w:tc>
        <w:tc>
          <w:tcPr>
            <w:tcW w:w="5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39C5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14m</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9EA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C1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台班</w:t>
            </w:r>
          </w:p>
        </w:tc>
        <w:tc>
          <w:tcPr>
            <w:tcW w:w="3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29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5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1AD9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DCF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D6D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8小时/台班</w:t>
            </w:r>
          </w:p>
        </w:tc>
      </w:tr>
      <w:tr w14:paraId="4A1D7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45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5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55CF54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未税合计/元</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A514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07098">
            <w:pPr>
              <w:jc w:val="center"/>
              <w:rPr>
                <w:rFonts w:hint="eastAsia" w:ascii="宋体" w:hAnsi="宋体" w:eastAsia="宋体" w:cs="宋体"/>
                <w:i w:val="0"/>
                <w:iCs w:val="0"/>
                <w:color w:val="000000"/>
                <w:sz w:val="24"/>
                <w:szCs w:val="24"/>
                <w:u w:val="none"/>
              </w:rPr>
            </w:pPr>
          </w:p>
        </w:tc>
      </w:tr>
      <w:tr w14:paraId="125BC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A6B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5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D01FB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利润费用 （？%）</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5460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00DDB">
            <w:pPr>
              <w:jc w:val="center"/>
              <w:rPr>
                <w:rFonts w:hint="eastAsia" w:ascii="宋体" w:hAnsi="宋体" w:eastAsia="宋体" w:cs="宋体"/>
                <w:i w:val="0"/>
                <w:iCs w:val="0"/>
                <w:color w:val="000000"/>
                <w:sz w:val="24"/>
                <w:szCs w:val="24"/>
                <w:u w:val="none"/>
              </w:rPr>
            </w:pPr>
          </w:p>
        </w:tc>
      </w:tr>
      <w:tr w14:paraId="37D5C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0CE5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3459"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46B0E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含税总价/元</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DC5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7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28F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税率</w:t>
            </w:r>
            <w:r>
              <w:rPr>
                <w:rStyle w:val="75"/>
                <w:rFonts w:hint="eastAsia" w:ascii="宋体" w:hAnsi="宋体" w:eastAsia="宋体" w:cs="宋体"/>
                <w:sz w:val="24"/>
                <w:szCs w:val="24"/>
                <w:lang w:val="en-US" w:eastAsia="zh-CN" w:bidi="ar"/>
              </w:rPr>
              <w:t>？%</w:t>
            </w:r>
          </w:p>
        </w:tc>
      </w:tr>
    </w:tbl>
    <w:p w14:paraId="3EC3FDC9">
      <w:pPr>
        <w:pStyle w:val="6"/>
        <w:rPr>
          <w:sz w:val="24"/>
          <w:szCs w:val="24"/>
        </w:rPr>
      </w:pPr>
    </w:p>
    <w:p w14:paraId="29448621">
      <w:pPr>
        <w:pStyle w:val="6"/>
        <w:rPr>
          <w:sz w:val="24"/>
          <w:szCs w:val="24"/>
        </w:rPr>
      </w:pPr>
    </w:p>
    <w:p w14:paraId="6FBC912A">
      <w:pPr>
        <w:pStyle w:val="6"/>
        <w:rPr>
          <w:sz w:val="24"/>
          <w:szCs w:val="24"/>
        </w:rPr>
      </w:pPr>
    </w:p>
    <w:p w14:paraId="50B2362A">
      <w:pPr>
        <w:widowControl/>
        <w:spacing w:line="480" w:lineRule="exact"/>
        <w:ind w:firstLine="4680" w:firstLineChars="1950"/>
        <w:jc w:val="left"/>
        <w:rPr>
          <w:sz w:val="24"/>
          <w:szCs w:val="24"/>
          <w:u w:val="single"/>
        </w:rPr>
      </w:pPr>
      <w:r>
        <w:rPr>
          <w:sz w:val="24"/>
          <w:szCs w:val="24"/>
        </w:rPr>
        <w:t>投标单位（盖章）：</w:t>
      </w:r>
      <w:r>
        <w:rPr>
          <w:sz w:val="24"/>
          <w:szCs w:val="24"/>
          <w:u w:val="single"/>
        </w:rPr>
        <w:t xml:space="preserve">            </w:t>
      </w:r>
      <w:r>
        <w:rPr>
          <w:rFonts w:hint="eastAsia"/>
          <w:sz w:val="24"/>
          <w:szCs w:val="24"/>
          <w:u w:val="single"/>
        </w:rPr>
        <w:t xml:space="preserve">   </w:t>
      </w:r>
      <w:r>
        <w:rPr>
          <w:sz w:val="24"/>
          <w:szCs w:val="24"/>
          <w:u w:val="single"/>
        </w:rPr>
        <w:t xml:space="preserve"> </w:t>
      </w:r>
    </w:p>
    <w:p w14:paraId="0BEE83AC">
      <w:pPr>
        <w:widowControl/>
        <w:spacing w:line="480" w:lineRule="exact"/>
        <w:ind w:firstLine="4440" w:firstLineChars="1850"/>
        <w:jc w:val="left"/>
        <w:rPr>
          <w:sz w:val="24"/>
          <w:szCs w:val="24"/>
          <w:u w:val="single"/>
        </w:rPr>
      </w:pPr>
      <w:r>
        <w:rPr>
          <w:sz w:val="24"/>
          <w:szCs w:val="24"/>
        </w:rPr>
        <w:t>投标人代表（签字）：</w:t>
      </w:r>
      <w:r>
        <w:rPr>
          <w:sz w:val="24"/>
          <w:szCs w:val="24"/>
          <w:u w:val="single"/>
        </w:rPr>
        <w:t xml:space="preserve">            </w:t>
      </w:r>
      <w:r>
        <w:rPr>
          <w:rFonts w:hint="eastAsia"/>
          <w:sz w:val="24"/>
          <w:szCs w:val="24"/>
          <w:u w:val="single"/>
        </w:rPr>
        <w:t xml:space="preserve">   </w:t>
      </w:r>
      <w:r>
        <w:rPr>
          <w:sz w:val="24"/>
          <w:szCs w:val="24"/>
          <w:u w:val="single"/>
        </w:rPr>
        <w:t xml:space="preserve"> </w:t>
      </w:r>
    </w:p>
    <w:p w14:paraId="689B9C1C">
      <w:pPr>
        <w:widowControl/>
        <w:spacing w:line="480" w:lineRule="exact"/>
        <w:jc w:val="left"/>
        <w:rPr>
          <w:sz w:val="24"/>
          <w:szCs w:val="24"/>
        </w:rPr>
      </w:pPr>
      <w:r>
        <w:rPr>
          <w:sz w:val="24"/>
          <w:szCs w:val="24"/>
        </w:rPr>
        <w:t xml:space="preserve">                                               </w:t>
      </w:r>
      <w:r>
        <w:rPr>
          <w:sz w:val="24"/>
          <w:szCs w:val="24"/>
        </w:rPr>
        <w:tab/>
      </w:r>
      <w:r>
        <w:rPr>
          <w:rFonts w:hint="eastAsia"/>
          <w:sz w:val="24"/>
          <w:szCs w:val="24"/>
        </w:rPr>
        <w:t xml:space="preserve">  </w:t>
      </w:r>
      <w:r>
        <w:rPr>
          <w:sz w:val="24"/>
          <w:szCs w:val="24"/>
        </w:rPr>
        <w:t xml:space="preserve">日期：     </w:t>
      </w:r>
    </w:p>
    <w:p w14:paraId="7927A38D">
      <w:pPr>
        <w:widowControl/>
        <w:spacing w:line="480" w:lineRule="exact"/>
        <w:ind w:firstLine="482"/>
        <w:jc w:val="left"/>
        <w:rPr>
          <w:rFonts w:ascii="黑体" w:hAnsi="Times New Roman" w:eastAsia="黑体"/>
          <w:b/>
          <w:sz w:val="32"/>
        </w:rPr>
      </w:pPr>
    </w:p>
    <w:p w14:paraId="735D0378">
      <w:pPr>
        <w:widowControl/>
        <w:spacing w:line="360" w:lineRule="auto"/>
        <w:ind w:firstLine="360"/>
        <w:jc w:val="left"/>
      </w:pPr>
    </w:p>
    <w:p w14:paraId="5DE3868F">
      <w:pPr>
        <w:widowControl/>
        <w:autoSpaceDE w:val="0"/>
        <w:autoSpaceDN w:val="0"/>
        <w:spacing w:line="500" w:lineRule="exact"/>
        <w:ind w:right="-5"/>
        <w:jc w:val="left"/>
        <w:rPr>
          <w:rFonts w:ascii="Times New Roman" w:hAnsi="Times New Roman"/>
          <w:b/>
          <w:color w:val="000000"/>
          <w:sz w:val="24"/>
          <w:szCs w:val="24"/>
        </w:rPr>
      </w:pPr>
      <w:r>
        <w:br w:type="page"/>
      </w:r>
      <w:r>
        <w:rPr>
          <w:rFonts w:hAnsi="Times New Roman"/>
          <w:color w:val="000000"/>
          <w:sz w:val="24"/>
          <w:szCs w:val="24"/>
        </w:rPr>
        <w:t>附件4</w:t>
      </w:r>
    </w:p>
    <w:p w14:paraId="4C2FD048">
      <w:pPr>
        <w:widowControl/>
        <w:autoSpaceDE w:val="0"/>
        <w:autoSpaceDN w:val="0"/>
        <w:spacing w:line="500" w:lineRule="exact"/>
        <w:ind w:right="-5"/>
        <w:jc w:val="center"/>
        <w:rPr>
          <w:rFonts w:ascii="Times New Roman" w:hAnsi="Times New Roman"/>
          <w:b/>
          <w:color w:val="000000"/>
          <w:sz w:val="32"/>
        </w:rPr>
      </w:pPr>
      <w:r>
        <w:rPr>
          <w:rFonts w:hAnsi="Times New Roman"/>
          <w:b/>
          <w:color w:val="000000"/>
          <w:sz w:val="32"/>
        </w:rPr>
        <w:t>法定代表人授权书（原件）</w:t>
      </w:r>
    </w:p>
    <w:p w14:paraId="0592AEF3">
      <w:pPr>
        <w:widowControl/>
        <w:spacing w:line="500" w:lineRule="exact"/>
        <w:jc w:val="left"/>
        <w:rPr>
          <w:rFonts w:ascii="Times New Roman" w:hAnsi="Times New Roman"/>
          <w:b/>
          <w:color w:val="000000"/>
        </w:rPr>
      </w:pPr>
    </w:p>
    <w:p w14:paraId="1E561225">
      <w:pPr>
        <w:widowControl/>
        <w:spacing w:line="480" w:lineRule="exact"/>
        <w:jc w:val="left"/>
        <w:rPr>
          <w:rFonts w:hAnsi="Times New Roman"/>
          <w:color w:val="000000"/>
          <w:sz w:val="24"/>
          <w:szCs w:val="24"/>
        </w:rPr>
      </w:pPr>
      <w:r>
        <w:rPr>
          <w:rFonts w:ascii="Times New Roman" w:hAnsi="Times New Roman"/>
          <w:b/>
          <w:color w:val="000000"/>
        </w:rPr>
        <w:t xml:space="preserve"> </w:t>
      </w:r>
      <w:r>
        <w:rPr>
          <w:rFonts w:ascii="Times New Roman" w:hAnsi="Times New Roman"/>
          <w:b/>
          <w:color w:val="000000"/>
          <w:sz w:val="24"/>
          <w:szCs w:val="24"/>
        </w:rPr>
        <w:t xml:space="preserve">    </w:t>
      </w:r>
      <w:r>
        <w:rPr>
          <w:rFonts w:hAnsi="Times New Roman"/>
          <w:color w:val="000000"/>
          <w:sz w:val="24"/>
          <w:szCs w:val="24"/>
        </w:rPr>
        <w:t>本授权委托书声明：我</w:t>
      </w:r>
      <w:r>
        <w:rPr>
          <w:rFonts w:ascii="Times New Roman" w:hAnsi="Times New Roman"/>
          <w:b/>
          <w:color w:val="000000"/>
          <w:sz w:val="24"/>
          <w:szCs w:val="24"/>
          <w:u w:val="single"/>
        </w:rPr>
        <w:t xml:space="preserve">                 </w:t>
      </w:r>
      <w:r>
        <w:rPr>
          <w:rFonts w:hAnsi="Times New Roman"/>
          <w:color w:val="000000"/>
          <w:sz w:val="24"/>
          <w:szCs w:val="24"/>
        </w:rPr>
        <w:t xml:space="preserve">（姓名）系 </w:t>
      </w:r>
      <w:r>
        <w:rPr>
          <w:rFonts w:ascii="Times New Roman" w:hAnsi="Times New Roman"/>
          <w:b/>
          <w:color w:val="000000"/>
          <w:sz w:val="24"/>
          <w:szCs w:val="24"/>
          <w:u w:val="single"/>
        </w:rPr>
        <w:t xml:space="preserve">    　　　　</w:t>
      </w:r>
      <w:r>
        <w:rPr>
          <w:rFonts w:hAnsi="Times New Roman"/>
          <w:color w:val="000000"/>
          <w:sz w:val="24"/>
          <w:szCs w:val="24"/>
        </w:rPr>
        <w:t xml:space="preserve">（单位名称）的法定代表人，现授权 </w:t>
      </w:r>
      <w:r>
        <w:rPr>
          <w:rFonts w:ascii="Times New Roman" w:hAnsi="Times New Roman"/>
          <w:b/>
          <w:color w:val="000000"/>
          <w:sz w:val="24"/>
          <w:szCs w:val="24"/>
          <w:u w:val="single"/>
        </w:rPr>
        <w:t xml:space="preserve">                     </w:t>
      </w:r>
      <w:r>
        <w:rPr>
          <w:rFonts w:hAnsi="Times New Roman"/>
          <w:color w:val="000000"/>
          <w:sz w:val="24"/>
          <w:szCs w:val="24"/>
        </w:rPr>
        <w:t xml:space="preserve">（单位名称） </w:t>
      </w:r>
      <w:r>
        <w:rPr>
          <w:rFonts w:ascii="Times New Roman" w:hAnsi="Times New Roman"/>
          <w:b/>
          <w:color w:val="000000"/>
          <w:sz w:val="24"/>
          <w:szCs w:val="24"/>
          <w:u w:val="single"/>
        </w:rPr>
        <w:t xml:space="preserve">           </w:t>
      </w:r>
      <w:r>
        <w:rPr>
          <w:rFonts w:hAnsi="Times New Roman"/>
          <w:color w:val="000000"/>
          <w:sz w:val="24"/>
          <w:szCs w:val="24"/>
        </w:rPr>
        <w:t xml:space="preserve">（代理人姓名）为我的合法代理人，以 </w:t>
      </w:r>
      <w:r>
        <w:rPr>
          <w:rFonts w:ascii="Times New Roman" w:hAnsi="Times New Roman"/>
          <w:b/>
          <w:color w:val="000000"/>
          <w:sz w:val="24"/>
          <w:szCs w:val="24"/>
          <w:u w:val="single"/>
        </w:rPr>
        <w:t xml:space="preserve">              </w:t>
      </w:r>
      <w:r>
        <w:rPr>
          <w:rFonts w:hAnsi="Times New Roman"/>
          <w:color w:val="000000"/>
          <w:sz w:val="24"/>
          <w:szCs w:val="24"/>
        </w:rPr>
        <w:t>（投标单位名称）的名义参加</w:t>
      </w:r>
      <w:r>
        <w:rPr>
          <w:rFonts w:ascii="Times New Roman" w:hAnsi="Times New Roman"/>
          <w:b/>
          <w:color w:val="000000"/>
          <w:sz w:val="24"/>
          <w:szCs w:val="24"/>
          <w:u w:val="single"/>
        </w:rPr>
        <w:t xml:space="preserve"> </w:t>
      </w:r>
      <w:r>
        <w:rPr>
          <w:rFonts w:hint="eastAsia" w:ascii="Times New Roman" w:hAnsi="Times New Roman"/>
          <w:b/>
          <w:color w:val="000000"/>
          <w:sz w:val="24"/>
          <w:szCs w:val="24"/>
          <w:u w:val="single"/>
          <w:lang w:val="en-US" w:eastAsia="zh-CN"/>
        </w:rPr>
        <w:t>中国重汽集团济南卡车股份有限公司设备动能部</w:t>
      </w:r>
      <w:r>
        <w:rPr>
          <w:rFonts w:ascii="Times New Roman" w:hAnsi="Times New Roman"/>
          <w:b/>
          <w:color w:val="000000"/>
          <w:sz w:val="24"/>
          <w:szCs w:val="24"/>
          <w:u w:val="single"/>
        </w:rPr>
        <w:t xml:space="preserve">   </w:t>
      </w:r>
      <w:r>
        <w:rPr>
          <w:rFonts w:hAnsi="Times New Roman"/>
          <w:color w:val="000000"/>
          <w:sz w:val="24"/>
          <w:szCs w:val="24"/>
        </w:rPr>
        <w:t xml:space="preserve"> （招标单位名称）的  </w:t>
      </w:r>
      <w:r>
        <w:rPr>
          <w:rFonts w:ascii="Times New Roman" w:hAnsi="Times New Roman"/>
          <w:b/>
          <w:color w:val="000000"/>
          <w:sz w:val="24"/>
          <w:szCs w:val="24"/>
          <w:u w:val="single"/>
        </w:rPr>
        <w:t xml:space="preserve">  </w:t>
      </w:r>
      <w:r>
        <w:rPr>
          <w:rFonts w:hint="eastAsia"/>
          <w:b/>
          <w:color w:val="000000"/>
          <w:sz w:val="24"/>
          <w:szCs w:val="24"/>
          <w:u w:val="single"/>
          <w:lang w:val="en-US" w:eastAsia="zh-CN"/>
        </w:rPr>
        <w:t>事故风机与报警装置联锁改造项目</w:t>
      </w:r>
      <w:r>
        <w:rPr>
          <w:rFonts w:ascii="Times New Roman" w:hAnsi="Times New Roman"/>
          <w:b/>
          <w:color w:val="000000"/>
          <w:sz w:val="24"/>
          <w:szCs w:val="24"/>
          <w:u w:val="single"/>
        </w:rPr>
        <w:t xml:space="preserve">   </w:t>
      </w:r>
      <w:r>
        <w:rPr>
          <w:rFonts w:ascii="Times New Roman" w:hAnsi="Times New Roman"/>
          <w:b/>
          <w:color w:val="000000"/>
          <w:sz w:val="24"/>
          <w:szCs w:val="24"/>
        </w:rPr>
        <w:t xml:space="preserve"> </w:t>
      </w:r>
      <w:r>
        <w:rPr>
          <w:rFonts w:hAnsi="Times New Roman"/>
          <w:color w:val="000000"/>
          <w:sz w:val="24"/>
          <w:szCs w:val="24"/>
        </w:rPr>
        <w:t>（项目名称）的投标。代理人签署的一切文件和处理与之有关的一切事务，我均予以承认。本授权书的有效期自投标开始至合同履行完毕止。</w:t>
      </w:r>
    </w:p>
    <w:p w14:paraId="0B5230E4">
      <w:pPr>
        <w:widowControl/>
        <w:spacing w:line="480" w:lineRule="exact"/>
        <w:jc w:val="left"/>
        <w:rPr>
          <w:rFonts w:ascii="Times New Roman" w:hAnsi="Times New Roman"/>
          <w:b/>
          <w:color w:val="000000"/>
          <w:sz w:val="24"/>
          <w:szCs w:val="24"/>
        </w:rPr>
      </w:pPr>
      <w:r>
        <w:rPr>
          <w:rFonts w:ascii="Times New Roman" w:hAnsi="Times New Roman"/>
          <w:b/>
          <w:color w:val="000000"/>
          <w:sz w:val="24"/>
          <w:szCs w:val="24"/>
        </w:rPr>
        <w:t xml:space="preserve">     </w:t>
      </w:r>
      <w:r>
        <w:rPr>
          <w:rFonts w:hAnsi="Times New Roman"/>
          <w:color w:val="000000"/>
          <w:sz w:val="24"/>
          <w:szCs w:val="24"/>
        </w:rPr>
        <w:t>代理人无权转委托，特此委托。</w:t>
      </w:r>
    </w:p>
    <w:p w14:paraId="24D8E562">
      <w:pPr>
        <w:widowControl/>
        <w:spacing w:line="480" w:lineRule="exact"/>
        <w:jc w:val="left"/>
        <w:rPr>
          <w:rFonts w:ascii="Times New Roman" w:hAnsi="Times New Roman"/>
          <w:b/>
          <w:color w:val="000000"/>
          <w:sz w:val="24"/>
          <w:szCs w:val="24"/>
        </w:rPr>
      </w:pPr>
    </w:p>
    <w:p w14:paraId="78BB8163">
      <w:pPr>
        <w:widowControl/>
        <w:spacing w:line="480" w:lineRule="exact"/>
        <w:jc w:val="left"/>
        <w:rPr>
          <w:rFonts w:ascii="Times New Roman" w:hAnsi="Times New Roman"/>
          <w:b/>
          <w:color w:val="000000"/>
          <w:sz w:val="24"/>
          <w:szCs w:val="24"/>
        </w:rPr>
      </w:pPr>
    </w:p>
    <w:p w14:paraId="4A52552E">
      <w:pPr>
        <w:widowControl/>
        <w:spacing w:line="480" w:lineRule="exact"/>
        <w:jc w:val="left"/>
        <w:rPr>
          <w:rFonts w:ascii="Times New Roman" w:hAnsi="Times New Roman"/>
          <w:color w:val="000000"/>
          <w:sz w:val="24"/>
          <w:szCs w:val="24"/>
        </w:rPr>
      </w:pPr>
      <w:r>
        <w:rPr>
          <w:rFonts w:ascii="Times New Roman" w:hAnsi="Times New Roman"/>
          <w:color w:val="000000"/>
          <w:sz w:val="24"/>
          <w:szCs w:val="24"/>
        </w:rPr>
        <w:t>投标单位（盖法人章）：</w:t>
      </w:r>
      <w:r>
        <w:rPr>
          <w:rFonts w:ascii="Times New Roman" w:hAnsi="Times New Roman"/>
          <w:b/>
          <w:color w:val="000000"/>
          <w:sz w:val="24"/>
          <w:szCs w:val="24"/>
          <w:u w:val="single"/>
        </w:rPr>
        <w:t xml:space="preserve">                        </w:t>
      </w:r>
    </w:p>
    <w:p w14:paraId="44CC58C9">
      <w:pPr>
        <w:widowControl/>
        <w:spacing w:line="480" w:lineRule="exact"/>
        <w:jc w:val="left"/>
        <w:rPr>
          <w:rFonts w:hAnsi="Times New Roman"/>
          <w:color w:val="000000"/>
          <w:sz w:val="24"/>
          <w:szCs w:val="24"/>
        </w:rPr>
      </w:pPr>
    </w:p>
    <w:p w14:paraId="573FEC95">
      <w:pPr>
        <w:widowControl/>
        <w:spacing w:line="480" w:lineRule="exact"/>
        <w:jc w:val="left"/>
        <w:rPr>
          <w:rFonts w:ascii="Times New Roman" w:hAnsi="Times New Roman"/>
          <w:b/>
          <w:color w:val="000000"/>
          <w:sz w:val="24"/>
          <w:szCs w:val="24"/>
          <w:u w:val="single"/>
        </w:rPr>
      </w:pPr>
      <w:r>
        <w:rPr>
          <w:rFonts w:hAnsi="Times New Roman"/>
          <w:color w:val="000000"/>
          <w:sz w:val="24"/>
          <w:szCs w:val="24"/>
        </w:rPr>
        <w:t>法定代表人（签字并盖章）：</w:t>
      </w:r>
      <w:r>
        <w:rPr>
          <w:rFonts w:ascii="Times New Roman" w:hAnsi="Times New Roman"/>
          <w:b/>
          <w:color w:val="000000"/>
          <w:sz w:val="24"/>
          <w:szCs w:val="24"/>
          <w:u w:val="single"/>
        </w:rPr>
        <w:t xml:space="preserve">                        </w:t>
      </w:r>
    </w:p>
    <w:p w14:paraId="2C5E7BAC">
      <w:pPr>
        <w:widowControl/>
        <w:spacing w:line="480" w:lineRule="exact"/>
        <w:jc w:val="left"/>
        <w:rPr>
          <w:rFonts w:ascii="Times New Roman" w:hAnsi="Times New Roman"/>
          <w:b/>
          <w:color w:val="000000"/>
          <w:sz w:val="24"/>
          <w:szCs w:val="24"/>
          <w:u w:val="single"/>
        </w:rPr>
      </w:pPr>
    </w:p>
    <w:p w14:paraId="28FE69ED">
      <w:pPr>
        <w:widowControl/>
        <w:spacing w:line="480" w:lineRule="exact"/>
        <w:jc w:val="left"/>
        <w:rPr>
          <w:color w:val="000000"/>
          <w:sz w:val="24"/>
          <w:szCs w:val="24"/>
        </w:rPr>
      </w:pPr>
      <w:r>
        <w:rPr>
          <w:rFonts w:hAnsi="Times New Roman"/>
          <w:color w:val="000000"/>
          <w:sz w:val="24"/>
          <w:szCs w:val="24"/>
        </w:rPr>
        <w:t>代理人（签字）：</w:t>
      </w:r>
      <w:r>
        <w:rPr>
          <w:rFonts w:ascii="Times New Roman" w:hAnsi="Times New Roman"/>
          <w:b/>
          <w:color w:val="000000"/>
          <w:sz w:val="24"/>
          <w:szCs w:val="24"/>
          <w:u w:val="single"/>
        </w:rPr>
        <w:t xml:space="preserve">                        </w:t>
      </w:r>
    </w:p>
    <w:p w14:paraId="233CF06A">
      <w:pPr>
        <w:widowControl/>
        <w:spacing w:line="480" w:lineRule="exact"/>
        <w:ind w:left="1275" w:firstLine="1795"/>
        <w:jc w:val="left"/>
        <w:rPr>
          <w:rFonts w:hAnsi="Times New Roman"/>
          <w:color w:val="000000"/>
          <w:sz w:val="24"/>
          <w:szCs w:val="24"/>
        </w:rPr>
      </w:pPr>
      <w:r>
        <w:rPr>
          <w:rFonts w:hAnsi="Times New Roman"/>
          <w:color w:val="000000"/>
          <w:sz w:val="24"/>
          <w:szCs w:val="24"/>
        </w:rPr>
        <w:t xml:space="preserve"> </w:t>
      </w:r>
    </w:p>
    <w:p w14:paraId="699CEC4F">
      <w:pPr>
        <w:widowControl/>
        <w:spacing w:line="480" w:lineRule="exact"/>
        <w:jc w:val="left"/>
        <w:rPr>
          <w:rFonts w:ascii="Times New Roman" w:hAnsi="Times New Roman"/>
          <w:b/>
          <w:color w:val="000000"/>
          <w:sz w:val="24"/>
          <w:szCs w:val="24"/>
        </w:rPr>
      </w:pPr>
      <w:r>
        <w:rPr>
          <w:rFonts w:hAnsi="Times New Roman"/>
          <w:color w:val="000000"/>
          <w:sz w:val="24"/>
          <w:szCs w:val="24"/>
        </w:rPr>
        <w:t>日期：           年   月   日</w:t>
      </w:r>
    </w:p>
    <w:p w14:paraId="78AC03D9">
      <w:pPr>
        <w:widowControl/>
        <w:spacing w:line="500" w:lineRule="exact"/>
        <w:jc w:val="left"/>
        <w:rPr>
          <w:rFonts w:hint="eastAsia"/>
          <w:lang w:val="en-US" w:eastAsia="zh-CN"/>
        </w:rPr>
      </w:pPr>
    </w:p>
    <w:p w14:paraId="151FD56D">
      <w:pPr>
        <w:widowControl/>
        <w:spacing w:line="500" w:lineRule="exact"/>
        <w:jc w:val="left"/>
        <w:rPr>
          <w:rFonts w:hAnsi="Times New Roman"/>
          <w:color w:val="000000"/>
        </w:rPr>
      </w:pPr>
      <w:r>
        <w:rPr>
          <w:rFonts w:hint="eastAsia"/>
          <w:color w:val="FF0000"/>
          <w:lang w:val="en-US" w:eastAsia="zh-CN"/>
        </w:rPr>
        <w:t>附法定代表人、被授权人身份证正反面复印件。</w:t>
      </w:r>
      <w:r>
        <w:rPr>
          <w:color w:val="FF0000"/>
        </w:rPr>
        <w:br w:type="page"/>
      </w:r>
      <w:r>
        <w:rPr>
          <w:color w:val="000000"/>
          <w:sz w:val="24"/>
          <w:szCs w:val="24"/>
        </w:rPr>
        <w:t>附件5：</w:t>
      </w:r>
      <w:r>
        <w:rPr>
          <w:rFonts w:hAnsi="Times New Roman"/>
          <w:color w:val="000000"/>
        </w:rPr>
        <w:t xml:space="preserve">                </w:t>
      </w:r>
      <w:r>
        <w:rPr>
          <w:rFonts w:hAnsi="Times New Roman"/>
          <w:b/>
          <w:color w:val="000000"/>
          <w:sz w:val="32"/>
        </w:rPr>
        <w:t xml:space="preserve"> 商务条款偏离表</w:t>
      </w:r>
    </w:p>
    <w:p w14:paraId="5BC715CC">
      <w:pPr>
        <w:widowControl/>
        <w:ind w:left="420"/>
        <w:jc w:val="left"/>
        <w:rPr>
          <w:rFonts w:ascii="Times New Roman" w:hAnsi="Times New Roman"/>
          <w:color w:val="000000"/>
        </w:rPr>
      </w:pPr>
    </w:p>
    <w:p w14:paraId="01CE2917">
      <w:pPr>
        <w:widowControl/>
        <w:ind w:left="420"/>
        <w:jc w:val="left"/>
        <w:rPr>
          <w:color w:val="000000"/>
          <w:sz w:val="24"/>
          <w:szCs w:val="24"/>
          <w:u w:val="single"/>
        </w:rPr>
      </w:pPr>
      <w:r>
        <w:rPr>
          <w:color w:val="000000"/>
          <w:sz w:val="24"/>
          <w:szCs w:val="24"/>
        </w:rPr>
        <w:t>招标项目名称：</w:t>
      </w:r>
      <w:r>
        <w:rPr>
          <w:color w:val="000000"/>
          <w:sz w:val="24"/>
          <w:szCs w:val="24"/>
          <w:u w:val="single"/>
        </w:rPr>
        <w:t xml:space="preserve"> </w:t>
      </w:r>
      <w:r>
        <w:rPr>
          <w:rFonts w:hint="eastAsia"/>
          <w:b/>
          <w:color w:val="000000"/>
          <w:sz w:val="24"/>
          <w:szCs w:val="24"/>
          <w:u w:val="single"/>
          <w:lang w:val="en-US" w:eastAsia="zh-CN"/>
        </w:rPr>
        <w:t>事故风机与报警装置联锁改造项目</w:t>
      </w:r>
      <w:r>
        <w:rPr>
          <w:rFonts w:ascii="Times New Roman" w:hAnsi="Times New Roman"/>
          <w:b/>
          <w:color w:val="000000"/>
          <w:sz w:val="24"/>
          <w:szCs w:val="24"/>
          <w:u w:val="single"/>
        </w:rPr>
        <w:t xml:space="preserve">  </w:t>
      </w:r>
      <w:r>
        <w:rPr>
          <w:color w:val="000000"/>
          <w:sz w:val="24"/>
          <w:szCs w:val="24"/>
          <w:u w:val="single"/>
        </w:rPr>
        <w:t xml:space="preserve"> </w:t>
      </w:r>
      <w:r>
        <w:rPr>
          <w:color w:val="000000"/>
          <w:sz w:val="24"/>
          <w:szCs w:val="24"/>
        </w:rPr>
        <w:t xml:space="preserve"> 招标编号：</w:t>
      </w:r>
      <w:r>
        <w:rPr>
          <w:color w:val="000000"/>
          <w:sz w:val="24"/>
          <w:szCs w:val="24"/>
          <w:u w:val="single"/>
        </w:rPr>
        <w:t xml:space="preserve">   </w:t>
      </w:r>
      <w:r>
        <w:rPr>
          <w:rFonts w:hint="eastAsia"/>
          <w:color w:val="000000"/>
          <w:sz w:val="24"/>
          <w:szCs w:val="24"/>
          <w:u w:val="single"/>
          <w:lang w:val="en-US" w:eastAsia="zh-CN"/>
        </w:rPr>
        <w:t xml:space="preserve">    </w:t>
      </w:r>
      <w:r>
        <w:rPr>
          <w:color w:val="000000"/>
          <w:sz w:val="24"/>
          <w:szCs w:val="24"/>
          <w:u w:val="single"/>
        </w:rPr>
        <w:t xml:space="preserve">    </w:t>
      </w:r>
    </w:p>
    <w:p w14:paraId="411EFC57">
      <w:pPr>
        <w:keepNext w:val="0"/>
        <w:keepLines w:val="0"/>
        <w:widowControl/>
        <w:suppressLineNumbers w:val="0"/>
        <w:jc w:val="left"/>
      </w:pPr>
    </w:p>
    <w:p w14:paraId="67D18717">
      <w:pPr>
        <w:widowControl/>
        <w:ind w:left="420"/>
        <w:jc w:val="left"/>
        <w:rPr>
          <w:color w:val="000000"/>
          <w:sz w:val="24"/>
          <w:szCs w:val="24"/>
        </w:rPr>
      </w:pPr>
    </w:p>
    <w:tbl>
      <w:tblPr>
        <w:tblStyle w:val="14"/>
        <w:tblW w:w="4998" w:type="pct"/>
        <w:jc w:val="center"/>
        <w:tblLayout w:type="autofit"/>
        <w:tblCellMar>
          <w:top w:w="0" w:type="dxa"/>
          <w:left w:w="0" w:type="dxa"/>
          <w:bottom w:w="0" w:type="dxa"/>
          <w:right w:w="0" w:type="dxa"/>
        </w:tblCellMar>
      </w:tblPr>
      <w:tblGrid>
        <w:gridCol w:w="863"/>
        <w:gridCol w:w="1727"/>
        <w:gridCol w:w="2591"/>
        <w:gridCol w:w="2591"/>
        <w:gridCol w:w="1510"/>
      </w:tblGrid>
      <w:tr w14:paraId="4F19DF7F">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FC1C6B9">
            <w:pPr>
              <w:widowControl/>
              <w:spacing w:line="420" w:lineRule="exact"/>
              <w:jc w:val="center"/>
              <w:rPr>
                <w:color w:val="000000"/>
                <w:sz w:val="24"/>
                <w:szCs w:val="24"/>
              </w:rPr>
            </w:pPr>
            <w:r>
              <w:rPr>
                <w:color w:val="000000"/>
                <w:sz w:val="24"/>
                <w:szCs w:val="24"/>
              </w:rPr>
              <w:t>序号</w:t>
            </w: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CADBF19">
            <w:pPr>
              <w:widowControl/>
              <w:spacing w:line="420" w:lineRule="exact"/>
              <w:jc w:val="center"/>
              <w:rPr>
                <w:color w:val="000000"/>
                <w:sz w:val="24"/>
                <w:szCs w:val="24"/>
              </w:rPr>
            </w:pPr>
            <w:r>
              <w:rPr>
                <w:color w:val="000000"/>
                <w:sz w:val="24"/>
                <w:szCs w:val="24"/>
              </w:rPr>
              <w:t>招标文件条目号</w:t>
            </w: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FF341A">
            <w:pPr>
              <w:widowControl/>
              <w:spacing w:line="420" w:lineRule="exact"/>
              <w:jc w:val="center"/>
              <w:rPr>
                <w:color w:val="000000"/>
                <w:sz w:val="24"/>
                <w:szCs w:val="24"/>
              </w:rPr>
            </w:pPr>
            <w:r>
              <w:rPr>
                <w:color w:val="000000"/>
                <w:sz w:val="24"/>
                <w:szCs w:val="24"/>
              </w:rPr>
              <w:t>招标文件的</w:t>
            </w:r>
          </w:p>
          <w:p w14:paraId="3C689E2D">
            <w:pPr>
              <w:widowControl/>
              <w:spacing w:line="420" w:lineRule="exact"/>
              <w:jc w:val="center"/>
              <w:rPr>
                <w:color w:val="000000"/>
                <w:sz w:val="24"/>
                <w:szCs w:val="24"/>
              </w:rPr>
            </w:pPr>
            <w:r>
              <w:rPr>
                <w:color w:val="000000"/>
                <w:sz w:val="24"/>
                <w:szCs w:val="24"/>
              </w:rPr>
              <w:t>商务条款</w:t>
            </w: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729104">
            <w:pPr>
              <w:widowControl/>
              <w:spacing w:line="420" w:lineRule="exact"/>
              <w:jc w:val="center"/>
              <w:rPr>
                <w:color w:val="000000"/>
                <w:sz w:val="24"/>
                <w:szCs w:val="24"/>
              </w:rPr>
            </w:pPr>
            <w:r>
              <w:rPr>
                <w:color w:val="000000"/>
                <w:sz w:val="24"/>
                <w:szCs w:val="24"/>
              </w:rPr>
              <w:t>投标文件的</w:t>
            </w:r>
          </w:p>
          <w:p w14:paraId="19B21DC0">
            <w:pPr>
              <w:widowControl/>
              <w:spacing w:line="420" w:lineRule="exact"/>
              <w:jc w:val="center"/>
              <w:rPr>
                <w:color w:val="000000"/>
                <w:sz w:val="24"/>
                <w:szCs w:val="24"/>
              </w:rPr>
            </w:pPr>
            <w:r>
              <w:rPr>
                <w:color w:val="000000"/>
                <w:sz w:val="24"/>
                <w:szCs w:val="24"/>
              </w:rPr>
              <w:t>商务条款</w:t>
            </w: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731F54F9">
            <w:pPr>
              <w:widowControl/>
              <w:spacing w:line="420" w:lineRule="exact"/>
              <w:jc w:val="center"/>
              <w:rPr>
                <w:color w:val="000000"/>
                <w:sz w:val="24"/>
                <w:szCs w:val="24"/>
              </w:rPr>
            </w:pPr>
            <w:r>
              <w:rPr>
                <w:color w:val="000000"/>
                <w:sz w:val="24"/>
                <w:szCs w:val="24"/>
              </w:rPr>
              <w:t>说明</w:t>
            </w:r>
          </w:p>
        </w:tc>
      </w:tr>
      <w:tr w14:paraId="58F69261">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0EBC99C">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1FA975">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0170D2">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8FCDA92">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8AF645A">
            <w:pPr>
              <w:widowControl/>
              <w:spacing w:line="800" w:lineRule="exact"/>
              <w:jc w:val="left"/>
              <w:rPr>
                <w:color w:val="000000"/>
                <w:sz w:val="24"/>
                <w:szCs w:val="24"/>
              </w:rPr>
            </w:pPr>
          </w:p>
        </w:tc>
      </w:tr>
      <w:tr w14:paraId="42461B66">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39260F">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068A777">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02AEE6">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72758CB">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D44AD7A">
            <w:pPr>
              <w:widowControl/>
              <w:spacing w:line="800" w:lineRule="exact"/>
              <w:jc w:val="left"/>
              <w:rPr>
                <w:color w:val="000000"/>
                <w:sz w:val="24"/>
                <w:szCs w:val="24"/>
              </w:rPr>
            </w:pPr>
          </w:p>
        </w:tc>
      </w:tr>
      <w:tr w14:paraId="08F76172">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FC0F33">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F2A162">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4E7124">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BE23305">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1B2CA9D">
            <w:pPr>
              <w:widowControl/>
              <w:spacing w:line="800" w:lineRule="exact"/>
              <w:jc w:val="left"/>
              <w:rPr>
                <w:color w:val="000000"/>
                <w:sz w:val="24"/>
                <w:szCs w:val="24"/>
              </w:rPr>
            </w:pPr>
          </w:p>
        </w:tc>
      </w:tr>
      <w:tr w14:paraId="72384F14">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4B7C5F2">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522F1B">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7E30EE">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9123CC7">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5305F2">
            <w:pPr>
              <w:widowControl/>
              <w:spacing w:line="800" w:lineRule="exact"/>
              <w:jc w:val="left"/>
              <w:rPr>
                <w:color w:val="000000"/>
                <w:sz w:val="24"/>
                <w:szCs w:val="24"/>
              </w:rPr>
            </w:pPr>
          </w:p>
        </w:tc>
      </w:tr>
      <w:tr w14:paraId="263C0749">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D872929">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BCF175">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E1E5B10">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E0606D4">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7FB10D">
            <w:pPr>
              <w:widowControl/>
              <w:spacing w:line="800" w:lineRule="exact"/>
              <w:jc w:val="left"/>
              <w:rPr>
                <w:color w:val="000000"/>
                <w:sz w:val="24"/>
                <w:szCs w:val="24"/>
              </w:rPr>
            </w:pPr>
          </w:p>
        </w:tc>
      </w:tr>
      <w:tr w14:paraId="3AA0FAE7">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B709DC">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249EA0F">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829AD8C">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D0A378A">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F37548">
            <w:pPr>
              <w:widowControl/>
              <w:spacing w:line="800" w:lineRule="exact"/>
              <w:jc w:val="left"/>
              <w:rPr>
                <w:color w:val="000000"/>
                <w:sz w:val="24"/>
                <w:szCs w:val="24"/>
              </w:rPr>
            </w:pPr>
          </w:p>
        </w:tc>
      </w:tr>
      <w:tr w14:paraId="2FF3B538">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9814426">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95DDBC1">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3963F2">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A100726">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E66070A">
            <w:pPr>
              <w:widowControl/>
              <w:spacing w:line="800" w:lineRule="exact"/>
              <w:jc w:val="left"/>
              <w:rPr>
                <w:color w:val="000000"/>
                <w:sz w:val="24"/>
                <w:szCs w:val="24"/>
              </w:rPr>
            </w:pPr>
          </w:p>
        </w:tc>
      </w:tr>
      <w:tr w14:paraId="3D294768">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FD3D08D">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B1B413">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B2EC75">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D55D26">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894B31">
            <w:pPr>
              <w:widowControl/>
              <w:spacing w:line="800" w:lineRule="exact"/>
              <w:jc w:val="left"/>
              <w:rPr>
                <w:color w:val="000000"/>
                <w:sz w:val="24"/>
                <w:szCs w:val="24"/>
              </w:rPr>
            </w:pPr>
          </w:p>
        </w:tc>
      </w:tr>
      <w:tr w14:paraId="2690998D">
        <w:tblPrEx>
          <w:tblCellMar>
            <w:top w:w="0" w:type="dxa"/>
            <w:left w:w="0" w:type="dxa"/>
            <w:bottom w:w="0" w:type="dxa"/>
            <w:right w:w="0" w:type="dxa"/>
          </w:tblCellMar>
        </w:tblPrEx>
        <w:trPr>
          <w:jc w:val="center"/>
        </w:trPr>
        <w:tc>
          <w:tcPr>
            <w:tcW w:w="46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312D121">
            <w:pPr>
              <w:widowControl/>
              <w:spacing w:line="800" w:lineRule="exact"/>
              <w:jc w:val="left"/>
              <w:rPr>
                <w:color w:val="000000"/>
                <w:sz w:val="24"/>
                <w:szCs w:val="24"/>
              </w:rPr>
            </w:pPr>
          </w:p>
        </w:tc>
        <w:tc>
          <w:tcPr>
            <w:tcW w:w="930"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A04973">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536AED">
            <w:pPr>
              <w:widowControl/>
              <w:spacing w:line="800" w:lineRule="exact"/>
              <w:jc w:val="left"/>
              <w:rPr>
                <w:color w:val="000000"/>
                <w:sz w:val="24"/>
                <w:szCs w:val="24"/>
              </w:rPr>
            </w:pPr>
          </w:p>
        </w:tc>
        <w:tc>
          <w:tcPr>
            <w:tcW w:w="1395"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3079ED5">
            <w:pPr>
              <w:widowControl/>
              <w:spacing w:line="800" w:lineRule="exact"/>
              <w:jc w:val="left"/>
              <w:rPr>
                <w:color w:val="000000"/>
                <w:sz w:val="24"/>
                <w:szCs w:val="24"/>
              </w:rPr>
            </w:pPr>
          </w:p>
        </w:tc>
        <w:tc>
          <w:tcPr>
            <w:tcW w:w="813"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6199EDC">
            <w:pPr>
              <w:widowControl/>
              <w:spacing w:line="800" w:lineRule="exact"/>
              <w:jc w:val="left"/>
              <w:rPr>
                <w:color w:val="000000"/>
                <w:sz w:val="24"/>
                <w:szCs w:val="24"/>
              </w:rPr>
            </w:pPr>
          </w:p>
        </w:tc>
      </w:tr>
    </w:tbl>
    <w:p w14:paraId="66706A0C">
      <w:pPr>
        <w:widowControl/>
        <w:spacing w:line="500" w:lineRule="exact"/>
        <w:ind w:firstLine="4320"/>
        <w:jc w:val="left"/>
        <w:rPr>
          <w:color w:val="000000"/>
          <w:sz w:val="24"/>
          <w:szCs w:val="24"/>
          <w:u w:val="single"/>
        </w:rPr>
      </w:pPr>
      <w:r>
        <w:rPr>
          <w:color w:val="000000"/>
          <w:sz w:val="24"/>
          <w:szCs w:val="24"/>
        </w:rPr>
        <w:t>投标人代表（签字）：</w:t>
      </w:r>
      <w:r>
        <w:rPr>
          <w:color w:val="000000"/>
          <w:sz w:val="24"/>
          <w:szCs w:val="24"/>
          <w:u w:val="single"/>
        </w:rPr>
        <w:t xml:space="preserve">            </w:t>
      </w:r>
    </w:p>
    <w:p w14:paraId="51F02BE1">
      <w:pPr>
        <w:widowControl/>
        <w:spacing w:line="500" w:lineRule="exact"/>
        <w:ind w:firstLine="6000"/>
        <w:jc w:val="left"/>
        <w:rPr>
          <w:color w:val="000000"/>
          <w:sz w:val="24"/>
          <w:szCs w:val="24"/>
        </w:rPr>
      </w:pPr>
      <w:r>
        <w:rPr>
          <w:color w:val="000000"/>
          <w:sz w:val="24"/>
          <w:szCs w:val="24"/>
        </w:rPr>
        <w:t>日期：</w:t>
      </w:r>
    </w:p>
    <w:p w14:paraId="4F33E9A7">
      <w:pPr>
        <w:widowControl/>
        <w:spacing w:line="480" w:lineRule="exact"/>
        <w:ind w:left="240"/>
        <w:jc w:val="left"/>
        <w:rPr>
          <w:color w:val="000000"/>
          <w:sz w:val="24"/>
          <w:szCs w:val="24"/>
        </w:rPr>
      </w:pPr>
      <w:r>
        <w:rPr>
          <w:color w:val="000000"/>
          <w:sz w:val="24"/>
          <w:szCs w:val="24"/>
        </w:rPr>
        <w:t>注：1、对招标文件的主要商务要求（如交货期、付款方式、履约保证、质保期等）须逐条作出响应，而不应以“全部符合”等字样来响应。</w:t>
      </w:r>
    </w:p>
    <w:p w14:paraId="572B593D">
      <w:pPr>
        <w:widowControl/>
        <w:spacing w:line="480" w:lineRule="exact"/>
        <w:ind w:left="787"/>
        <w:jc w:val="left"/>
        <w:rPr>
          <w:rFonts w:hint="eastAsia" w:eastAsia="宋体"/>
          <w:color w:val="000000"/>
          <w:sz w:val="24"/>
          <w:szCs w:val="24"/>
          <w:lang w:eastAsia="zh-CN"/>
        </w:rPr>
      </w:pPr>
      <w:r>
        <w:rPr>
          <w:color w:val="000000"/>
          <w:sz w:val="24"/>
          <w:szCs w:val="24"/>
        </w:rPr>
        <w:t>2、其他商务偏离也须在上表中逐条列明。</w:t>
      </w:r>
    </w:p>
    <w:p w14:paraId="24CBF0C6">
      <w:pPr>
        <w:widowControl/>
        <w:spacing w:line="480" w:lineRule="exact"/>
        <w:ind w:left="787"/>
        <w:jc w:val="left"/>
        <w:rPr>
          <w:color w:val="000000"/>
          <w:sz w:val="24"/>
          <w:szCs w:val="24"/>
        </w:rPr>
      </w:pPr>
      <w:r>
        <w:rPr>
          <w:color w:val="000000"/>
          <w:sz w:val="24"/>
          <w:szCs w:val="24"/>
        </w:rPr>
        <w:t>3、如投标文件不符合上述要求，投标人将承担其投标被拒绝的风险。</w:t>
      </w:r>
    </w:p>
    <w:p w14:paraId="6F89A4D3">
      <w:pPr>
        <w:rPr>
          <w:color w:val="000000"/>
          <w:sz w:val="24"/>
          <w:szCs w:val="24"/>
        </w:rPr>
      </w:pPr>
      <w:r>
        <w:rPr>
          <w:color w:val="000000"/>
          <w:sz w:val="24"/>
          <w:szCs w:val="24"/>
        </w:rPr>
        <w:br w:type="page"/>
      </w:r>
    </w:p>
    <w:p w14:paraId="2EB99B9D">
      <w:pPr>
        <w:widowControl/>
        <w:spacing w:after="120" w:line="500" w:lineRule="exact"/>
        <w:ind w:firstLine="1897" w:firstLineChars="900"/>
        <w:jc w:val="left"/>
        <w:rPr>
          <w:rFonts w:ascii="Times New Roman" w:hAnsi="Times New Roman"/>
          <w:b/>
          <w:color w:val="000000"/>
        </w:rPr>
      </w:pPr>
      <w:r>
        <w:rPr>
          <w:rFonts w:hAnsi="Times New Roman"/>
          <w:b/>
          <w:color w:val="000000"/>
        </w:rPr>
        <w:t xml:space="preserve"> </w:t>
      </w:r>
      <w:r>
        <w:rPr>
          <w:rFonts w:hAnsi="Times New Roman"/>
          <w:b/>
          <w:color w:val="000000"/>
          <w:sz w:val="32"/>
        </w:rPr>
        <w:t>技术需求偏离表（须点对点应答）</w:t>
      </w:r>
    </w:p>
    <w:p w14:paraId="119FCF9C">
      <w:pPr>
        <w:widowControl/>
        <w:ind w:left="420"/>
        <w:jc w:val="left"/>
        <w:rPr>
          <w:rFonts w:hAnsi="Times New Roman"/>
          <w:color w:val="000000"/>
        </w:rPr>
      </w:pPr>
    </w:p>
    <w:p w14:paraId="242CCD8D">
      <w:pPr>
        <w:widowControl/>
        <w:ind w:left="420"/>
        <w:jc w:val="left"/>
        <w:rPr>
          <w:color w:val="000000"/>
          <w:sz w:val="24"/>
          <w:szCs w:val="24"/>
          <w:u w:val="single"/>
        </w:rPr>
      </w:pPr>
      <w:r>
        <w:rPr>
          <w:color w:val="000000"/>
          <w:sz w:val="24"/>
          <w:szCs w:val="24"/>
        </w:rPr>
        <w:t>招标项目名称：</w:t>
      </w:r>
      <w:r>
        <w:rPr>
          <w:color w:val="000000"/>
          <w:sz w:val="24"/>
          <w:szCs w:val="24"/>
          <w:u w:val="single"/>
        </w:rPr>
        <w:t xml:space="preserve"> </w:t>
      </w:r>
      <w:r>
        <w:rPr>
          <w:rFonts w:hint="eastAsia"/>
          <w:b/>
          <w:color w:val="000000"/>
          <w:sz w:val="24"/>
          <w:szCs w:val="24"/>
          <w:u w:val="single"/>
          <w:lang w:val="en-US" w:eastAsia="zh-CN"/>
        </w:rPr>
        <w:t>事故风机与报警装置联锁改造项目</w:t>
      </w:r>
      <w:r>
        <w:rPr>
          <w:rFonts w:ascii="Times New Roman" w:hAnsi="Times New Roman"/>
          <w:b/>
          <w:color w:val="000000"/>
          <w:sz w:val="24"/>
          <w:szCs w:val="24"/>
          <w:u w:val="single"/>
        </w:rPr>
        <w:t xml:space="preserve">  </w:t>
      </w:r>
      <w:r>
        <w:rPr>
          <w:color w:val="000000"/>
          <w:sz w:val="24"/>
          <w:szCs w:val="24"/>
          <w:u w:val="single"/>
        </w:rPr>
        <w:t xml:space="preserve">    </w:t>
      </w:r>
      <w:r>
        <w:rPr>
          <w:color w:val="000000"/>
          <w:sz w:val="24"/>
          <w:szCs w:val="24"/>
        </w:rPr>
        <w:t xml:space="preserve"> 招标编号：</w:t>
      </w:r>
      <w:r>
        <w:rPr>
          <w:color w:val="000000"/>
          <w:sz w:val="24"/>
          <w:szCs w:val="24"/>
          <w:u w:val="single"/>
        </w:rPr>
        <w:t xml:space="preserve">   </w:t>
      </w:r>
      <w:r>
        <w:rPr>
          <w:rFonts w:hint="eastAsia"/>
          <w:color w:val="000000"/>
          <w:sz w:val="24"/>
          <w:szCs w:val="24"/>
          <w:u w:val="single"/>
          <w:lang w:val="en-US" w:eastAsia="zh-CN"/>
        </w:rPr>
        <w:t xml:space="preserve">      </w:t>
      </w:r>
      <w:r>
        <w:rPr>
          <w:color w:val="000000"/>
          <w:sz w:val="24"/>
          <w:szCs w:val="24"/>
          <w:u w:val="single"/>
        </w:rPr>
        <w:t xml:space="preserve"> </w:t>
      </w:r>
    </w:p>
    <w:p w14:paraId="7A8D2CD4">
      <w:pPr>
        <w:keepNext w:val="0"/>
        <w:keepLines w:val="0"/>
        <w:widowControl/>
        <w:suppressLineNumbers w:val="0"/>
        <w:jc w:val="left"/>
      </w:pPr>
    </w:p>
    <w:p w14:paraId="71B87EE9">
      <w:pPr>
        <w:widowControl/>
        <w:jc w:val="left"/>
        <w:rPr>
          <w:color w:val="000000"/>
          <w:sz w:val="24"/>
          <w:szCs w:val="24"/>
        </w:rPr>
      </w:pPr>
    </w:p>
    <w:tbl>
      <w:tblPr>
        <w:tblStyle w:val="14"/>
        <w:tblW w:w="4996" w:type="pct"/>
        <w:jc w:val="center"/>
        <w:tblLayout w:type="autofit"/>
        <w:tblCellMar>
          <w:top w:w="0" w:type="dxa"/>
          <w:left w:w="0" w:type="dxa"/>
          <w:bottom w:w="0" w:type="dxa"/>
          <w:right w:w="0" w:type="dxa"/>
        </w:tblCellMar>
      </w:tblPr>
      <w:tblGrid>
        <w:gridCol w:w="615"/>
        <w:gridCol w:w="1650"/>
        <w:gridCol w:w="1651"/>
        <w:gridCol w:w="1651"/>
        <w:gridCol w:w="1651"/>
        <w:gridCol w:w="1359"/>
        <w:gridCol w:w="702"/>
      </w:tblGrid>
      <w:tr w14:paraId="5A5DA5C3">
        <w:tblPrEx>
          <w:tblCellMar>
            <w:top w:w="0" w:type="dxa"/>
            <w:left w:w="0" w:type="dxa"/>
            <w:bottom w:w="0" w:type="dxa"/>
            <w:right w:w="0" w:type="dxa"/>
          </w:tblCellMar>
        </w:tblPrEx>
        <w:trPr>
          <w:trHeight w:val="886" w:hRule="atLeast"/>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C4FAAF6">
            <w:pPr>
              <w:widowControl/>
              <w:spacing w:line="420" w:lineRule="exact"/>
              <w:jc w:val="center"/>
              <w:rPr>
                <w:color w:val="000000"/>
                <w:sz w:val="24"/>
                <w:szCs w:val="24"/>
              </w:rPr>
            </w:pPr>
            <w:r>
              <w:rPr>
                <w:color w:val="000000"/>
                <w:sz w:val="24"/>
                <w:szCs w:val="24"/>
              </w:rPr>
              <w:t>序号</w:t>
            </w: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60DC3381">
            <w:pPr>
              <w:widowControl/>
              <w:spacing w:line="420" w:lineRule="exact"/>
              <w:jc w:val="center"/>
              <w:rPr>
                <w:color w:val="000000"/>
                <w:sz w:val="24"/>
                <w:szCs w:val="24"/>
              </w:rPr>
            </w:pPr>
            <w:r>
              <w:rPr>
                <w:color w:val="000000"/>
                <w:sz w:val="24"/>
                <w:szCs w:val="24"/>
              </w:rPr>
              <w:t>工程项目</w:t>
            </w: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585BF845">
            <w:pPr>
              <w:widowControl/>
              <w:spacing w:line="420" w:lineRule="exact"/>
              <w:jc w:val="center"/>
              <w:rPr>
                <w:color w:val="000000"/>
                <w:sz w:val="24"/>
                <w:szCs w:val="24"/>
              </w:rPr>
            </w:pPr>
            <w:r>
              <w:rPr>
                <w:color w:val="000000"/>
                <w:sz w:val="24"/>
                <w:szCs w:val="24"/>
              </w:rPr>
              <w:t>招标文件</w:t>
            </w:r>
          </w:p>
          <w:p w14:paraId="3A6F0785">
            <w:pPr>
              <w:widowControl/>
              <w:spacing w:line="420" w:lineRule="exact"/>
              <w:jc w:val="center"/>
              <w:rPr>
                <w:color w:val="000000"/>
                <w:sz w:val="24"/>
                <w:szCs w:val="24"/>
              </w:rPr>
            </w:pPr>
            <w:r>
              <w:rPr>
                <w:color w:val="000000"/>
                <w:sz w:val="24"/>
                <w:szCs w:val="24"/>
              </w:rPr>
              <w:t>条目号</w:t>
            </w: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0D1D1EF2">
            <w:pPr>
              <w:widowControl/>
              <w:spacing w:line="420" w:lineRule="exact"/>
              <w:jc w:val="center"/>
              <w:rPr>
                <w:color w:val="000000"/>
                <w:sz w:val="24"/>
                <w:szCs w:val="24"/>
              </w:rPr>
            </w:pPr>
            <w:r>
              <w:rPr>
                <w:color w:val="000000"/>
                <w:sz w:val="24"/>
                <w:szCs w:val="24"/>
              </w:rPr>
              <w:t>招标规格</w:t>
            </w: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4F901D29">
            <w:pPr>
              <w:widowControl/>
              <w:spacing w:line="420" w:lineRule="exact"/>
              <w:jc w:val="center"/>
              <w:rPr>
                <w:color w:val="000000"/>
                <w:sz w:val="24"/>
                <w:szCs w:val="24"/>
              </w:rPr>
            </w:pPr>
            <w:r>
              <w:rPr>
                <w:color w:val="000000"/>
                <w:sz w:val="24"/>
                <w:szCs w:val="24"/>
              </w:rPr>
              <w:t>投标规格</w:t>
            </w: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1AA89DB7">
            <w:pPr>
              <w:widowControl/>
              <w:spacing w:line="420" w:lineRule="exact"/>
              <w:jc w:val="center"/>
              <w:rPr>
                <w:color w:val="000000"/>
                <w:sz w:val="24"/>
                <w:szCs w:val="24"/>
              </w:rPr>
            </w:pPr>
            <w:r>
              <w:rPr>
                <w:color w:val="000000"/>
                <w:sz w:val="24"/>
                <w:szCs w:val="24"/>
              </w:rPr>
              <w:t>响应/偏离</w:t>
            </w: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14:paraId="2AE0D0F2">
            <w:pPr>
              <w:widowControl/>
              <w:spacing w:line="420" w:lineRule="exact"/>
              <w:jc w:val="center"/>
              <w:rPr>
                <w:color w:val="000000"/>
                <w:sz w:val="24"/>
                <w:szCs w:val="24"/>
              </w:rPr>
            </w:pPr>
            <w:r>
              <w:rPr>
                <w:color w:val="000000"/>
                <w:sz w:val="24"/>
                <w:szCs w:val="24"/>
              </w:rPr>
              <w:t>说明</w:t>
            </w:r>
          </w:p>
        </w:tc>
      </w:tr>
      <w:tr w14:paraId="77A17414">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0CC57B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B5B5AC7">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37D9D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F9BCD2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408C60">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2BA3E2F">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2C59C2">
            <w:pPr>
              <w:widowControl/>
              <w:spacing w:line="800" w:lineRule="exact"/>
              <w:jc w:val="left"/>
              <w:rPr>
                <w:color w:val="000000"/>
                <w:sz w:val="24"/>
                <w:szCs w:val="24"/>
              </w:rPr>
            </w:pPr>
          </w:p>
        </w:tc>
      </w:tr>
      <w:tr w14:paraId="60389843">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1B9DFF0">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D2FB920">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FC1DB1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5799F3">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CB49D03">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1798C8">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E610A4C">
            <w:pPr>
              <w:widowControl/>
              <w:spacing w:line="800" w:lineRule="exact"/>
              <w:jc w:val="left"/>
              <w:rPr>
                <w:color w:val="000000"/>
                <w:sz w:val="24"/>
                <w:szCs w:val="24"/>
              </w:rPr>
            </w:pPr>
          </w:p>
        </w:tc>
      </w:tr>
      <w:tr w14:paraId="2E0666A3">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EEA15F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C51C1D4">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F8B78B2">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4613AF">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6B78C39">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31442D5">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D8C923F">
            <w:pPr>
              <w:widowControl/>
              <w:spacing w:line="800" w:lineRule="exact"/>
              <w:jc w:val="left"/>
              <w:rPr>
                <w:color w:val="000000"/>
                <w:sz w:val="24"/>
                <w:szCs w:val="24"/>
              </w:rPr>
            </w:pPr>
          </w:p>
        </w:tc>
      </w:tr>
      <w:tr w14:paraId="032B3143">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92F9E84">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1F7B0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68AFA1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0BF936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EB9379B">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1BEF2E5">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48DF4C">
            <w:pPr>
              <w:widowControl/>
              <w:spacing w:line="800" w:lineRule="exact"/>
              <w:jc w:val="left"/>
              <w:rPr>
                <w:color w:val="000000"/>
                <w:sz w:val="24"/>
                <w:szCs w:val="24"/>
              </w:rPr>
            </w:pPr>
          </w:p>
        </w:tc>
      </w:tr>
      <w:tr w14:paraId="5AA50A2B">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C6A487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2D789B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7E685F8">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FDDDE95">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53D9F02">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D206127">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464F836">
            <w:pPr>
              <w:widowControl/>
              <w:spacing w:line="800" w:lineRule="exact"/>
              <w:jc w:val="left"/>
              <w:rPr>
                <w:color w:val="000000"/>
                <w:sz w:val="24"/>
                <w:szCs w:val="24"/>
              </w:rPr>
            </w:pPr>
          </w:p>
        </w:tc>
      </w:tr>
      <w:tr w14:paraId="7BD77323">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680FFDF">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BA9990C">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C9DCBD4">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49F6764">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2202EE7">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59B6935">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CF25B71">
            <w:pPr>
              <w:widowControl/>
              <w:spacing w:line="800" w:lineRule="exact"/>
              <w:jc w:val="left"/>
              <w:rPr>
                <w:color w:val="000000"/>
                <w:sz w:val="24"/>
                <w:szCs w:val="24"/>
              </w:rPr>
            </w:pPr>
          </w:p>
        </w:tc>
      </w:tr>
      <w:tr w14:paraId="578C487F">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698D86E">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494175D">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3426507">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4920452">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3E9089CA">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72748A46">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6563968A">
            <w:pPr>
              <w:widowControl/>
              <w:spacing w:line="800" w:lineRule="exact"/>
              <w:jc w:val="left"/>
              <w:rPr>
                <w:color w:val="000000"/>
                <w:sz w:val="24"/>
                <w:szCs w:val="24"/>
              </w:rPr>
            </w:pPr>
          </w:p>
        </w:tc>
      </w:tr>
      <w:tr w14:paraId="2C92FA67">
        <w:tblPrEx>
          <w:tblCellMar>
            <w:top w:w="0" w:type="dxa"/>
            <w:left w:w="0" w:type="dxa"/>
            <w:bottom w:w="0" w:type="dxa"/>
            <w:right w:w="0" w:type="dxa"/>
          </w:tblCellMar>
        </w:tblPrEx>
        <w:trPr>
          <w:jc w:val="center"/>
        </w:trPr>
        <w:tc>
          <w:tcPr>
            <w:tcW w:w="3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2D5AE769">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46211D">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5B94A545">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C8D5735">
            <w:pPr>
              <w:widowControl/>
              <w:spacing w:line="800" w:lineRule="exact"/>
              <w:jc w:val="left"/>
              <w:rPr>
                <w:color w:val="000000"/>
                <w:sz w:val="24"/>
                <w:szCs w:val="24"/>
              </w:rPr>
            </w:pPr>
          </w:p>
        </w:tc>
        <w:tc>
          <w:tcPr>
            <w:tcW w:w="889"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1A765DF2">
            <w:pPr>
              <w:widowControl/>
              <w:spacing w:line="800" w:lineRule="exact"/>
              <w:jc w:val="left"/>
              <w:rPr>
                <w:color w:val="000000"/>
                <w:sz w:val="24"/>
                <w:szCs w:val="24"/>
              </w:rPr>
            </w:pPr>
          </w:p>
        </w:tc>
        <w:tc>
          <w:tcPr>
            <w:tcW w:w="732"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41A23163">
            <w:pPr>
              <w:widowControl/>
              <w:spacing w:line="800" w:lineRule="exact"/>
              <w:jc w:val="left"/>
              <w:rPr>
                <w:color w:val="000000"/>
                <w:sz w:val="24"/>
                <w:szCs w:val="24"/>
              </w:rPr>
            </w:pPr>
          </w:p>
        </w:tc>
        <w:tc>
          <w:tcPr>
            <w:tcW w:w="378" w:type="pc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14:paraId="05B0995F">
            <w:pPr>
              <w:widowControl/>
              <w:spacing w:line="800" w:lineRule="exact"/>
              <w:jc w:val="left"/>
              <w:rPr>
                <w:color w:val="000000"/>
                <w:sz w:val="24"/>
                <w:szCs w:val="24"/>
              </w:rPr>
            </w:pPr>
          </w:p>
        </w:tc>
      </w:tr>
    </w:tbl>
    <w:p w14:paraId="76BD2FEC">
      <w:pPr>
        <w:widowControl/>
        <w:spacing w:line="500" w:lineRule="exact"/>
        <w:ind w:firstLine="1440"/>
        <w:jc w:val="left"/>
        <w:rPr>
          <w:color w:val="000000"/>
          <w:sz w:val="24"/>
          <w:szCs w:val="24"/>
        </w:rPr>
      </w:pPr>
    </w:p>
    <w:p w14:paraId="578015A5">
      <w:pPr>
        <w:widowControl/>
        <w:spacing w:line="500" w:lineRule="exact"/>
        <w:ind w:firstLine="4560"/>
        <w:jc w:val="left"/>
        <w:rPr>
          <w:color w:val="000000"/>
          <w:sz w:val="24"/>
          <w:szCs w:val="24"/>
          <w:u w:val="single"/>
        </w:rPr>
      </w:pPr>
      <w:r>
        <w:rPr>
          <w:color w:val="000000"/>
          <w:sz w:val="24"/>
          <w:szCs w:val="24"/>
        </w:rPr>
        <w:t>投标人代表（签字）：</w:t>
      </w:r>
      <w:r>
        <w:rPr>
          <w:color w:val="000000"/>
          <w:sz w:val="24"/>
          <w:szCs w:val="24"/>
          <w:u w:val="single"/>
        </w:rPr>
        <w:t xml:space="preserve">           </w:t>
      </w:r>
    </w:p>
    <w:p w14:paraId="708FB9C2">
      <w:pPr>
        <w:widowControl/>
        <w:spacing w:line="500" w:lineRule="exact"/>
        <w:jc w:val="center"/>
        <w:rPr>
          <w:b/>
          <w:color w:val="000000"/>
          <w:sz w:val="24"/>
          <w:szCs w:val="24"/>
        </w:rPr>
      </w:pPr>
      <w:r>
        <w:rPr>
          <w:color w:val="000000"/>
          <w:sz w:val="24"/>
          <w:szCs w:val="24"/>
        </w:rPr>
        <w:t xml:space="preserve">                                        日期：</w:t>
      </w:r>
    </w:p>
    <w:p w14:paraId="246E1236">
      <w:pPr>
        <w:widowControl/>
        <w:ind w:left="420"/>
        <w:jc w:val="left"/>
        <w:rPr>
          <w:color w:val="000000"/>
          <w:sz w:val="24"/>
          <w:szCs w:val="24"/>
        </w:rPr>
      </w:pPr>
    </w:p>
    <w:p w14:paraId="5AAA42D3">
      <w:pPr>
        <w:widowControl/>
        <w:spacing w:line="480" w:lineRule="exact"/>
        <w:ind w:left="238"/>
        <w:jc w:val="left"/>
        <w:rPr>
          <w:rFonts w:hint="default" w:ascii="黑体" w:hAnsi="Courier New" w:eastAsia="黑体" w:cs="Times New Roman"/>
          <w:b/>
          <w:bCs/>
          <w:sz w:val="28"/>
          <w:lang w:val="en-US" w:eastAsia="zh-CN"/>
        </w:rPr>
      </w:pPr>
      <w:r>
        <w:rPr>
          <w:color w:val="000000"/>
          <w:sz w:val="24"/>
          <w:szCs w:val="24"/>
        </w:rPr>
        <w:t>注：投标人须对照招标文件技术需求，逐条说明所提供施工工程和服务已对招标文件的技术规格做出了实质性的响应，并申明与技术规格条文的偏差和例外。特别对有具体参数要求的指标，投标人必须提供所投设备的具体参数值，而不应以“全部符合”等字样来响应，否则将承担其投标被拒绝的风险。</w:t>
      </w:r>
    </w:p>
    <w:p w14:paraId="096DE07D">
      <w:pPr>
        <w:pStyle w:val="7"/>
        <w:outlineLvl w:val="2"/>
        <w:rPr>
          <w:rFonts w:hint="eastAsia" w:hAnsi="宋体" w:eastAsia="宋体" w:cs="宋体"/>
          <w:b/>
          <w:bCs/>
          <w:color w:val="000000"/>
          <w:sz w:val="24"/>
          <w:szCs w:val="24"/>
          <w:highlight w:val="none"/>
        </w:rPr>
      </w:pPr>
    </w:p>
    <w:p w14:paraId="3EF453EA">
      <w:pPr>
        <w:pStyle w:val="4"/>
      </w:pPr>
    </w:p>
    <w:p w14:paraId="5DE925EE">
      <w:pPr>
        <w:rPr>
          <w:color w:val="000000"/>
          <w:sz w:val="24"/>
          <w:szCs w:val="24"/>
        </w:rPr>
      </w:pPr>
      <w:r>
        <w:rPr>
          <w:color w:val="000000"/>
          <w:sz w:val="24"/>
          <w:szCs w:val="24"/>
        </w:rPr>
        <w:br w:type="page"/>
      </w:r>
    </w:p>
    <w:p w14:paraId="13F2D2C5">
      <w:pPr>
        <w:keepNext/>
        <w:keepLines/>
        <w:outlineLvl w:val="1"/>
        <w:rPr>
          <w:rFonts w:hint="default" w:ascii="Times New Roman" w:hAnsi="Times New Roman" w:eastAsia="宋体" w:cs="Times New Roman"/>
          <w:b/>
          <w:color w:val="000000"/>
          <w:sz w:val="32"/>
        </w:rPr>
      </w:pPr>
      <w:r>
        <w:rPr>
          <w:color w:val="000000"/>
          <w:sz w:val="24"/>
          <w:szCs w:val="24"/>
        </w:rPr>
        <w:t>附件</w:t>
      </w:r>
      <w:r>
        <w:rPr>
          <w:rFonts w:hint="eastAsia"/>
          <w:color w:val="000000"/>
          <w:sz w:val="24"/>
          <w:szCs w:val="24"/>
          <w:lang w:val="en-US" w:eastAsia="zh-CN"/>
        </w:rPr>
        <w:t>6</w:t>
      </w:r>
      <w:r>
        <w:rPr>
          <w:color w:val="000000"/>
          <w:sz w:val="24"/>
          <w:szCs w:val="24"/>
        </w:rPr>
        <w:t xml:space="preserve">：  </w:t>
      </w:r>
      <w:r>
        <w:rPr>
          <w:rFonts w:hAnsi="Times New Roman"/>
          <w:color w:val="000000"/>
        </w:rPr>
        <w:t xml:space="preserve">           </w:t>
      </w:r>
      <w:r>
        <w:rPr>
          <w:rFonts w:hint="default" w:ascii="Times New Roman" w:hAnsi="Times New Roman" w:eastAsia="宋体" w:cs="Times New Roman"/>
          <w:b/>
          <w:color w:val="000000"/>
          <w:sz w:val="32"/>
        </w:rPr>
        <w:t>投标人基本情况及资产情况汇总表</w:t>
      </w:r>
    </w:p>
    <w:p w14:paraId="41A81E56">
      <w:pPr>
        <w:keepNext/>
        <w:keepLines/>
        <w:outlineLvl w:val="2"/>
        <w:rPr>
          <w:rFonts w:hint="default" w:ascii="Times New Roman" w:hAnsi="Times New Roman" w:eastAsia="宋体" w:cs="Times New Roman"/>
          <w:b/>
          <w:bCs/>
          <w:color w:val="000000"/>
          <w:sz w:val="24"/>
          <w:szCs w:val="24"/>
        </w:rPr>
      </w:pPr>
      <w:r>
        <w:rPr>
          <w:rFonts w:hint="default" w:ascii="Times New Roman" w:hAnsi="Times New Roman" w:eastAsia="宋体" w:cs="Times New Roman"/>
          <w:spacing w:val="-9"/>
          <w:sz w:val="24"/>
          <w:szCs w:val="24"/>
          <w14:textOutline w14:w="4356" w14:cap="flat" w14:cmpd="sng" w14:algn="ctr">
            <w14:solidFill>
              <w14:srgbClr w14:val="000000"/>
            </w14:solidFill>
            <w14:prstDash w14:val="solid"/>
            <w14:miter w14:val="0"/>
          </w14:textOutline>
        </w:rPr>
        <w:t>表</w:t>
      </w:r>
      <w:r>
        <w:rPr>
          <w:rFonts w:hint="default" w:ascii="Times New Roman" w:hAnsi="Times New Roman" w:eastAsia="宋体" w:cs="Times New Roman"/>
          <w:spacing w:val="-7"/>
          <w:sz w:val="24"/>
          <w:szCs w:val="24"/>
        </w:rPr>
        <w:t xml:space="preserve"> </w:t>
      </w:r>
      <w:r>
        <w:rPr>
          <w:rFonts w:hint="eastAsia" w:ascii="Times New Roman" w:hAnsi="Times New Roman" w:eastAsia="宋体" w:cs="Times New Roman"/>
          <w:b/>
          <w:bCs/>
          <w:spacing w:val="-7"/>
          <w:sz w:val="24"/>
          <w:szCs w:val="24"/>
          <w:lang w:val="en-US" w:eastAsia="zh-CN"/>
        </w:rPr>
        <w:t>6</w:t>
      </w:r>
      <w:r>
        <w:rPr>
          <w:rFonts w:hint="default" w:ascii="Times New Roman" w:hAnsi="Times New Roman" w:eastAsia="宋体" w:cs="Times New Roman"/>
          <w:b/>
          <w:bCs/>
          <w:spacing w:val="-7"/>
          <w:sz w:val="24"/>
          <w:szCs w:val="24"/>
        </w:rPr>
        <w:t>-</w:t>
      </w:r>
      <w:r>
        <w:rPr>
          <w:rFonts w:hint="default" w:ascii="Times New Roman" w:hAnsi="Times New Roman" w:eastAsia="宋体" w:cs="Times New Roman"/>
          <w:spacing w:val="-7"/>
          <w:sz w:val="24"/>
          <w:szCs w:val="24"/>
          <w14:textOutline w14:w="4356" w14:cap="flat" w14:cmpd="sng" w14:algn="ctr">
            <w14:solidFill>
              <w14:srgbClr w14:val="000000"/>
            </w14:solidFill>
            <w14:prstDash w14:val="solid"/>
            <w14:miter w14:val="0"/>
          </w14:textOutline>
        </w:rPr>
        <w:t xml:space="preserve">1 </w:t>
      </w:r>
      <w:r>
        <w:rPr>
          <w:rFonts w:hint="default" w:ascii="Times New Roman" w:hAnsi="Times New Roman" w:eastAsia="宋体" w:cs="Times New Roman"/>
          <w:b/>
          <w:bCs/>
          <w:color w:val="000000"/>
          <w:sz w:val="24"/>
          <w:szCs w:val="24"/>
        </w:rPr>
        <w:t>投标人基本情况表</w:t>
      </w:r>
    </w:p>
    <w:tbl>
      <w:tblPr>
        <w:tblStyle w:val="24"/>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04D60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7F19A39B">
            <w:pPr>
              <w:pStyle w:val="23"/>
              <w:spacing w:before="114"/>
              <w:ind w:left="720"/>
              <w:rPr>
                <w:rFonts w:hint="default" w:ascii="Times New Roman" w:hAnsi="Times New Roman" w:cs="Times New Roman"/>
              </w:rPr>
            </w:pPr>
            <w:r>
              <w:rPr>
                <w:rFonts w:hint="default" w:ascii="Times New Roman" w:hAnsi="Times New Roman" w:cs="Times New Roman"/>
              </w:rPr>
              <w:t xml:space="preserve">企业名称 </w:t>
            </w:r>
          </w:p>
        </w:tc>
        <w:tc>
          <w:tcPr>
            <w:tcW w:w="4680" w:type="dxa"/>
            <w:gridSpan w:val="4"/>
            <w:vAlign w:val="center"/>
          </w:tcPr>
          <w:p w14:paraId="5F281DD8">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6BAD04A9">
            <w:pPr>
              <w:pStyle w:val="23"/>
              <w:spacing w:before="106"/>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联系人 </w:t>
            </w:r>
          </w:p>
        </w:tc>
        <w:tc>
          <w:tcPr>
            <w:tcW w:w="1510" w:type="dxa"/>
            <w:vAlign w:val="center"/>
          </w:tcPr>
          <w:p w14:paraId="270E41FF">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1873F8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136BF0B9">
            <w:pPr>
              <w:pStyle w:val="23"/>
              <w:spacing w:before="114"/>
              <w:ind w:left="720"/>
              <w:rPr>
                <w:rFonts w:hint="default" w:ascii="Times New Roman" w:hAnsi="Times New Roman" w:cs="Times New Roman"/>
              </w:rPr>
            </w:pPr>
            <w:r>
              <w:rPr>
                <w:rFonts w:hint="default" w:ascii="Times New Roman" w:hAnsi="Times New Roman" w:cs="Times New Roman"/>
              </w:rPr>
              <w:t xml:space="preserve">企业地址 </w:t>
            </w:r>
          </w:p>
        </w:tc>
        <w:tc>
          <w:tcPr>
            <w:tcW w:w="4680" w:type="dxa"/>
            <w:gridSpan w:val="4"/>
            <w:vAlign w:val="center"/>
          </w:tcPr>
          <w:p w14:paraId="7B2FCB95">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19914E5D">
            <w:pPr>
              <w:pStyle w:val="23"/>
              <w:spacing w:before="106"/>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联系人电话 </w:t>
            </w:r>
          </w:p>
        </w:tc>
        <w:tc>
          <w:tcPr>
            <w:tcW w:w="1510" w:type="dxa"/>
            <w:vAlign w:val="center"/>
          </w:tcPr>
          <w:p w14:paraId="732B4FC2">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6E208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7F91CFDE">
            <w:pPr>
              <w:pStyle w:val="23"/>
              <w:spacing w:before="111"/>
              <w:ind w:left="720"/>
              <w:rPr>
                <w:rFonts w:hint="default" w:ascii="Times New Roman" w:hAnsi="Times New Roman" w:cs="Times New Roman"/>
              </w:rPr>
            </w:pPr>
            <w:r>
              <w:rPr>
                <w:rFonts w:hint="default" w:ascii="Times New Roman" w:hAnsi="Times New Roman" w:cs="Times New Roman"/>
              </w:rPr>
              <w:t xml:space="preserve">企业性质 </w:t>
            </w:r>
          </w:p>
        </w:tc>
        <w:tc>
          <w:tcPr>
            <w:tcW w:w="4680" w:type="dxa"/>
            <w:gridSpan w:val="4"/>
            <w:vAlign w:val="center"/>
          </w:tcPr>
          <w:p w14:paraId="45CA68C9">
            <w:pPr>
              <w:widowControl/>
              <w:jc w:val="center"/>
              <w:textAlignment w:val="center"/>
              <w:rPr>
                <w:rFonts w:hint="default" w:ascii="Times New Roman" w:hAnsi="Times New Roman" w:eastAsia="宋体" w:cs="Times New Roman"/>
                <w:color w:val="000000" w:themeColor="text1"/>
                <w14:textFill>
                  <w14:solidFill>
                    <w14:schemeClr w14:val="tx1"/>
                  </w14:solidFill>
                </w14:textFill>
              </w:rPr>
            </w:pPr>
          </w:p>
        </w:tc>
        <w:tc>
          <w:tcPr>
            <w:tcW w:w="1310" w:type="dxa"/>
          </w:tcPr>
          <w:p w14:paraId="74FFB527">
            <w:pPr>
              <w:pStyle w:val="23"/>
              <w:spacing w:before="103"/>
              <w:ind w:left="154"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 xml:space="preserve">注册时间 </w:t>
            </w:r>
          </w:p>
        </w:tc>
        <w:tc>
          <w:tcPr>
            <w:tcW w:w="1510" w:type="dxa"/>
            <w:vAlign w:val="center"/>
          </w:tcPr>
          <w:p w14:paraId="1C814967">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43B58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270BB991">
            <w:pPr>
              <w:pStyle w:val="23"/>
              <w:spacing w:before="111"/>
              <w:ind w:left="509"/>
              <w:rPr>
                <w:rFonts w:hint="default" w:ascii="Times New Roman" w:hAnsi="Times New Roman" w:cs="Times New Roman"/>
                <w:highlight w:val="yellow"/>
              </w:rPr>
            </w:pPr>
            <w:r>
              <w:rPr>
                <w:rFonts w:hint="default" w:ascii="Times New Roman" w:hAnsi="Times New Roman" w:cs="Times New Roman"/>
              </w:rPr>
              <w:t xml:space="preserve">企业法人代表  </w:t>
            </w:r>
          </w:p>
        </w:tc>
        <w:tc>
          <w:tcPr>
            <w:tcW w:w="4680" w:type="dxa"/>
            <w:gridSpan w:val="4"/>
          </w:tcPr>
          <w:p w14:paraId="64C0141C">
            <w:pPr>
              <w:pStyle w:val="3"/>
              <w:keepNext w:val="0"/>
              <w:keepLines w:val="0"/>
              <w:widowControl/>
              <w:shd w:val="clear" w:color="auto" w:fill="FFFFFF"/>
              <w:spacing w:before="0" w:after="0" w:line="450" w:lineRule="atLeast"/>
              <w:rPr>
                <w:rFonts w:hint="default" w:ascii="Times New Roman" w:hAnsi="Times New Roman" w:cs="Times New Roman"/>
                <w:color w:val="000000" w:themeColor="text1"/>
                <w14:textFill>
                  <w14:solidFill>
                    <w14:schemeClr w14:val="tx1"/>
                  </w14:solidFill>
                </w14:textFill>
              </w:rPr>
            </w:pPr>
          </w:p>
        </w:tc>
        <w:tc>
          <w:tcPr>
            <w:tcW w:w="1310" w:type="dxa"/>
          </w:tcPr>
          <w:p w14:paraId="7FE7A3B6">
            <w:pPr>
              <w:pStyle w:val="23"/>
              <w:spacing w:before="103"/>
              <w:ind w:right="26"/>
              <w:jc w:val="center"/>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cs="Times New Roman"/>
                <w:color w:val="000000" w:themeColor="text1"/>
                <w14:textFill>
                  <w14:solidFill>
                    <w14:schemeClr w14:val="tx1"/>
                  </w14:solidFill>
                </w14:textFill>
              </w:rPr>
              <w:t>企业资质</w:t>
            </w:r>
          </w:p>
        </w:tc>
        <w:tc>
          <w:tcPr>
            <w:tcW w:w="1510" w:type="dxa"/>
            <w:vAlign w:val="center"/>
          </w:tcPr>
          <w:p w14:paraId="26F8C7B2">
            <w:pPr>
              <w:widowControl/>
              <w:jc w:val="center"/>
              <w:textAlignment w:val="center"/>
              <w:rPr>
                <w:rFonts w:hint="default" w:ascii="Times New Roman" w:hAnsi="Times New Roman" w:eastAsia="宋体" w:cs="Times New Roman"/>
                <w:color w:val="000000" w:themeColor="text1"/>
                <w:szCs w:val="21"/>
                <w14:textFill>
                  <w14:solidFill>
                    <w14:schemeClr w14:val="tx1"/>
                  </w14:solidFill>
                </w14:textFill>
              </w:rPr>
            </w:pPr>
          </w:p>
        </w:tc>
      </w:tr>
      <w:tr w14:paraId="67AAC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DD27F8F">
            <w:pPr>
              <w:pStyle w:val="23"/>
              <w:spacing w:before="114"/>
              <w:ind w:left="720"/>
              <w:rPr>
                <w:rFonts w:hint="default" w:ascii="Times New Roman" w:hAnsi="Times New Roman" w:cs="Times New Roman"/>
              </w:rPr>
            </w:pPr>
            <w:r>
              <w:rPr>
                <w:rFonts w:hint="default" w:ascii="Times New Roman" w:hAnsi="Times New Roman" w:cs="Times New Roman"/>
              </w:rPr>
              <w:t xml:space="preserve">品牌区分 </w:t>
            </w:r>
          </w:p>
        </w:tc>
        <w:tc>
          <w:tcPr>
            <w:tcW w:w="7500" w:type="dxa"/>
            <w:gridSpan w:val="6"/>
          </w:tcPr>
          <w:p w14:paraId="3F0C8C9B">
            <w:pPr>
              <w:pStyle w:val="23"/>
              <w:spacing w:before="106"/>
              <w:ind w:left="401"/>
              <w:rPr>
                <w:rFonts w:hint="default" w:ascii="Times New Roman" w:hAnsi="Times New Roman" w:cs="Times New Roman"/>
              </w:rPr>
            </w:pPr>
            <w:r>
              <w:rPr>
                <w:rFonts w:hint="default" w:ascii="Times New Roman" w:hAnsi="Times New Roman" w:cs="Times New Roman"/>
              </w:rPr>
              <w:t xml:space="preserve"> 自产 总代理 代理  经销 </w:t>
            </w:r>
          </w:p>
        </w:tc>
      </w:tr>
      <w:tr w14:paraId="30763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402A6D1C">
            <w:pPr>
              <w:pStyle w:val="23"/>
              <w:spacing w:before="178"/>
              <w:ind w:left="720"/>
              <w:rPr>
                <w:rFonts w:hint="default" w:ascii="Times New Roman" w:hAnsi="Times New Roman" w:cs="Times New Roman"/>
              </w:rPr>
            </w:pPr>
            <w:r>
              <w:rPr>
                <w:rFonts w:hint="default" w:ascii="Times New Roman" w:hAnsi="Times New Roman" w:cs="Times New Roman"/>
              </w:rPr>
              <w:t xml:space="preserve">品牌名称 </w:t>
            </w:r>
          </w:p>
        </w:tc>
        <w:tc>
          <w:tcPr>
            <w:tcW w:w="3583" w:type="dxa"/>
            <w:gridSpan w:val="3"/>
            <w:vAlign w:val="center"/>
          </w:tcPr>
          <w:p w14:paraId="20712E2A">
            <w:pPr>
              <w:widowControl/>
              <w:rPr>
                <w:rFonts w:hint="default" w:ascii="Times New Roman" w:hAnsi="Times New Roman" w:eastAsia="仿宋_GB2312" w:cs="Times New Roman"/>
                <w:kern w:val="0"/>
                <w:szCs w:val="21"/>
                <w:lang w:bidi="ar"/>
              </w:rPr>
            </w:pPr>
          </w:p>
        </w:tc>
        <w:tc>
          <w:tcPr>
            <w:tcW w:w="1097" w:type="dxa"/>
          </w:tcPr>
          <w:p w14:paraId="0828CCE9">
            <w:pPr>
              <w:pStyle w:val="23"/>
              <w:spacing w:before="15"/>
              <w:ind w:left="279"/>
              <w:rPr>
                <w:rFonts w:hint="default" w:ascii="Times New Roman" w:hAnsi="Times New Roman" w:cs="Times New Roman"/>
              </w:rPr>
            </w:pPr>
            <w:r>
              <w:rPr>
                <w:rFonts w:hint="default" w:ascii="Times New Roman" w:hAnsi="Times New Roman" w:cs="Times New Roman"/>
                <w:spacing w:val="-2"/>
              </w:rPr>
              <w:t>质量</w:t>
            </w:r>
            <w:r>
              <w:rPr>
                <w:rFonts w:hint="default" w:ascii="Times New Roman" w:hAnsi="Times New Roman" w:cs="Times New Roman"/>
              </w:rPr>
              <w:t xml:space="preserve"> </w:t>
            </w:r>
          </w:p>
          <w:p w14:paraId="6E1DDB88">
            <w:pPr>
              <w:pStyle w:val="23"/>
              <w:spacing w:before="30" w:line="277" w:lineRule="exact"/>
              <w:ind w:left="279"/>
              <w:rPr>
                <w:rFonts w:hint="default" w:ascii="Times New Roman" w:hAnsi="Times New Roman" w:cs="Times New Roman"/>
              </w:rPr>
            </w:pPr>
            <w:r>
              <w:rPr>
                <w:rFonts w:hint="default" w:ascii="Times New Roman" w:hAnsi="Times New Roman" w:cs="Times New Roman"/>
              </w:rPr>
              <w:t>体系</w:t>
            </w:r>
          </w:p>
        </w:tc>
        <w:tc>
          <w:tcPr>
            <w:tcW w:w="2820" w:type="dxa"/>
            <w:gridSpan w:val="2"/>
          </w:tcPr>
          <w:p w14:paraId="14AC8EC1">
            <w:pPr>
              <w:pStyle w:val="23"/>
              <w:spacing w:before="158"/>
              <w:jc w:val="center"/>
              <w:rPr>
                <w:rFonts w:hint="default" w:ascii="Times New Roman" w:hAnsi="Times New Roman" w:cs="Times New Roman"/>
                <w:sz w:val="24"/>
              </w:rPr>
            </w:pPr>
          </w:p>
        </w:tc>
      </w:tr>
      <w:tr w14:paraId="14DC1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B4D85EA">
            <w:pPr>
              <w:pStyle w:val="23"/>
              <w:spacing w:before="149"/>
              <w:ind w:left="3345" w:right="3223"/>
              <w:jc w:val="center"/>
              <w:rPr>
                <w:rFonts w:hint="default" w:ascii="Times New Roman" w:hAnsi="Times New Roman" w:cs="Times New Roman"/>
              </w:rPr>
            </w:pPr>
            <w:r>
              <w:rPr>
                <w:rFonts w:hint="default" w:ascii="Times New Roman" w:hAnsi="Times New Roman" w:cs="Times New Roman"/>
                <w:szCs w:val="21"/>
              </w:rPr>
              <w:t>单位概况</w:t>
            </w:r>
          </w:p>
        </w:tc>
      </w:tr>
      <w:tr w14:paraId="6FE85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7E2DDE2B">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2"/>
                <w:szCs w:val="21"/>
              </w:rPr>
              <w:t>参保职工总人</w:t>
            </w:r>
            <w:r>
              <w:rPr>
                <w:rFonts w:hint="default" w:ascii="Times New Roman" w:hAnsi="Times New Roman" w:eastAsia="宋体" w:cs="Times New Roman"/>
                <w:spacing w:val="-1"/>
                <w:szCs w:val="21"/>
              </w:rPr>
              <w:t>数</w:t>
            </w:r>
          </w:p>
        </w:tc>
        <w:tc>
          <w:tcPr>
            <w:tcW w:w="990" w:type="dxa"/>
            <w:vAlign w:val="center"/>
          </w:tcPr>
          <w:p w14:paraId="10830E80">
            <w:pPr>
              <w:widowControl/>
              <w:textAlignment w:val="center"/>
              <w:rPr>
                <w:rFonts w:hint="default" w:ascii="Times New Roman" w:hAnsi="Times New Roman" w:eastAsia="宋体" w:cs="Times New Roman"/>
                <w:szCs w:val="21"/>
              </w:rPr>
            </w:pPr>
          </w:p>
        </w:tc>
        <w:tc>
          <w:tcPr>
            <w:tcW w:w="1530" w:type="dxa"/>
            <w:vAlign w:val="center"/>
          </w:tcPr>
          <w:p w14:paraId="7B816B7D">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2"/>
                <w:szCs w:val="21"/>
              </w:rPr>
              <w:t>工程技术人</w:t>
            </w:r>
            <w:r>
              <w:rPr>
                <w:rFonts w:hint="default" w:ascii="Times New Roman" w:hAnsi="Times New Roman" w:eastAsia="宋体" w:cs="Times New Roman"/>
                <w:spacing w:val="-1"/>
                <w:szCs w:val="21"/>
              </w:rPr>
              <w:t>员</w:t>
            </w:r>
          </w:p>
        </w:tc>
        <w:tc>
          <w:tcPr>
            <w:tcW w:w="1063" w:type="dxa"/>
            <w:vAlign w:val="center"/>
          </w:tcPr>
          <w:p w14:paraId="21815676">
            <w:pPr>
              <w:widowControl/>
              <w:jc w:val="center"/>
              <w:textAlignment w:val="center"/>
              <w:rPr>
                <w:rFonts w:hint="default" w:ascii="Times New Roman" w:hAnsi="Times New Roman" w:eastAsia="宋体" w:cs="Times New Roman"/>
                <w:szCs w:val="21"/>
              </w:rPr>
            </w:pPr>
          </w:p>
        </w:tc>
        <w:tc>
          <w:tcPr>
            <w:tcW w:w="1097" w:type="dxa"/>
            <w:vAlign w:val="center"/>
          </w:tcPr>
          <w:p w14:paraId="67F2D0A4">
            <w:pPr>
              <w:widowControl/>
              <w:textAlignment w:val="center"/>
              <w:rPr>
                <w:rFonts w:hint="default" w:ascii="Times New Roman" w:hAnsi="Times New Roman" w:eastAsia="宋体" w:cs="Times New Roman"/>
                <w:szCs w:val="21"/>
              </w:rPr>
            </w:pPr>
            <w:r>
              <w:rPr>
                <w:rFonts w:hint="default" w:ascii="Times New Roman" w:hAnsi="Times New Roman" w:eastAsia="宋体" w:cs="Times New Roman"/>
                <w:spacing w:val="-3"/>
                <w:szCs w:val="21"/>
              </w:rPr>
              <w:t>生</w:t>
            </w:r>
            <w:r>
              <w:rPr>
                <w:rFonts w:hint="default" w:ascii="Times New Roman" w:hAnsi="Times New Roman" w:eastAsia="宋体" w:cs="Times New Roman"/>
                <w:spacing w:val="-2"/>
                <w:szCs w:val="21"/>
              </w:rPr>
              <w:t>产、销售人员</w:t>
            </w:r>
          </w:p>
        </w:tc>
        <w:tc>
          <w:tcPr>
            <w:tcW w:w="2820" w:type="dxa"/>
            <w:gridSpan w:val="2"/>
            <w:vAlign w:val="center"/>
          </w:tcPr>
          <w:p w14:paraId="094EA4B4">
            <w:pPr>
              <w:widowControl/>
              <w:jc w:val="center"/>
              <w:textAlignment w:val="center"/>
              <w:rPr>
                <w:rFonts w:hint="default" w:ascii="Times New Roman" w:hAnsi="Times New Roman" w:eastAsia="宋体" w:cs="Times New Roman"/>
                <w:szCs w:val="21"/>
              </w:rPr>
            </w:pPr>
          </w:p>
        </w:tc>
      </w:tr>
      <w:tr w14:paraId="239C1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353A989D">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企业优势、关键产品特点</w:t>
            </w:r>
          </w:p>
        </w:tc>
        <w:tc>
          <w:tcPr>
            <w:tcW w:w="7500" w:type="dxa"/>
            <w:gridSpan w:val="6"/>
            <w:vAlign w:val="center"/>
          </w:tcPr>
          <w:p w14:paraId="206CFF75">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15EF95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2302DCB3">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color w:val="000000"/>
                <w:kern w:val="0"/>
                <w:szCs w:val="21"/>
                <w:lang w:bidi="ar"/>
              </w:rPr>
              <w:t>企业行业水平及行业口碑</w:t>
            </w:r>
          </w:p>
        </w:tc>
        <w:tc>
          <w:tcPr>
            <w:tcW w:w="7500" w:type="dxa"/>
            <w:gridSpan w:val="6"/>
            <w:vAlign w:val="center"/>
          </w:tcPr>
          <w:p w14:paraId="66E69AB1">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09181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75B93156">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spacing w:val="-10"/>
                <w:szCs w:val="21"/>
              </w:rPr>
              <w:t>公</w:t>
            </w:r>
            <w:r>
              <w:rPr>
                <w:rFonts w:hint="default" w:ascii="Times New Roman" w:hAnsi="Times New Roman" w:eastAsia="宋体" w:cs="Times New Roman"/>
                <w:spacing w:val="-7"/>
                <w:szCs w:val="21"/>
              </w:rPr>
              <w:t>司</w:t>
            </w:r>
            <w:r>
              <w:rPr>
                <w:rFonts w:hint="default" w:ascii="Times New Roman" w:hAnsi="Times New Roman" w:eastAsia="宋体" w:cs="Times New Roman"/>
                <w:spacing w:val="-5"/>
                <w:szCs w:val="21"/>
              </w:rPr>
              <w:t>现有主要研发、</w:t>
            </w:r>
            <w:r>
              <w:rPr>
                <w:rFonts w:hint="default" w:ascii="Times New Roman" w:hAnsi="Times New Roman" w:eastAsia="宋体" w:cs="Times New Roman"/>
                <w:szCs w:val="21"/>
              </w:rPr>
              <w:t xml:space="preserve"> </w:t>
            </w:r>
            <w:r>
              <w:rPr>
                <w:rFonts w:hint="default" w:ascii="Times New Roman" w:hAnsi="Times New Roman" w:eastAsia="宋体" w:cs="Times New Roman"/>
                <w:spacing w:val="-4"/>
                <w:szCs w:val="21"/>
              </w:rPr>
              <w:t>实</w:t>
            </w:r>
            <w:r>
              <w:rPr>
                <w:rFonts w:hint="default" w:ascii="Times New Roman" w:hAnsi="Times New Roman" w:eastAsia="宋体" w:cs="Times New Roman"/>
                <w:spacing w:val="-2"/>
                <w:szCs w:val="21"/>
              </w:rPr>
              <w:t>验、生产设备</w:t>
            </w:r>
          </w:p>
        </w:tc>
        <w:tc>
          <w:tcPr>
            <w:tcW w:w="7500" w:type="dxa"/>
            <w:gridSpan w:val="6"/>
            <w:vAlign w:val="center"/>
          </w:tcPr>
          <w:p w14:paraId="17B7A806">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6A7530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1E1CD495">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近三或五年企业类似业绩及履约情况</w:t>
            </w:r>
          </w:p>
        </w:tc>
        <w:tc>
          <w:tcPr>
            <w:tcW w:w="7500" w:type="dxa"/>
            <w:gridSpan w:val="6"/>
            <w:vAlign w:val="center"/>
          </w:tcPr>
          <w:p w14:paraId="3042305E">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5E982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15AFB111">
            <w:pPr>
              <w:widowControl/>
              <w:jc w:val="center"/>
              <w:textAlignment w:val="center"/>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售后服务及质量</w:t>
            </w:r>
          </w:p>
        </w:tc>
        <w:tc>
          <w:tcPr>
            <w:tcW w:w="7500" w:type="dxa"/>
            <w:gridSpan w:val="6"/>
            <w:vAlign w:val="center"/>
          </w:tcPr>
          <w:p w14:paraId="0B0F5E90">
            <w:pPr>
              <w:widowControl/>
              <w:jc w:val="left"/>
              <w:rPr>
                <w:rFonts w:hint="default" w:ascii="Times New Roman" w:hAnsi="Times New Roman" w:eastAsia="宋体" w:cs="Times New Roman"/>
                <w:szCs w:val="21"/>
              </w:rPr>
            </w:pPr>
            <w:r>
              <w:rPr>
                <w:rFonts w:hint="default" w:ascii="Times New Roman" w:hAnsi="Times New Roman" w:eastAsia="宋体" w:cs="Times New Roman"/>
                <w:kern w:val="0"/>
                <w:szCs w:val="21"/>
                <w:lang w:bidi="ar"/>
              </w:rPr>
              <w:t>　</w:t>
            </w:r>
          </w:p>
        </w:tc>
      </w:tr>
      <w:tr w14:paraId="18D86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C61DC30">
            <w:pPr>
              <w:widowControl/>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spacing w:val="-4"/>
                <w:szCs w:val="21"/>
              </w:rPr>
              <w:t>对本项目在设计、制造、进度、财务等方面采取的组织措施和相</w:t>
            </w:r>
            <w:r>
              <w:rPr>
                <w:rFonts w:hint="default" w:ascii="Times New Roman" w:hAnsi="Times New Roman" w:eastAsia="宋体" w:cs="Times New Roman"/>
                <w:spacing w:val="-2"/>
                <w:szCs w:val="21"/>
              </w:rPr>
              <w:t>关</w:t>
            </w:r>
            <w:r>
              <w:rPr>
                <w:rFonts w:hint="default" w:ascii="Times New Roman" w:hAnsi="Times New Roman" w:eastAsia="宋体" w:cs="Times New Roman"/>
                <w:spacing w:val="-3"/>
                <w:szCs w:val="21"/>
              </w:rPr>
              <w:t>人</w:t>
            </w:r>
            <w:r>
              <w:rPr>
                <w:rFonts w:hint="default" w:ascii="Times New Roman" w:hAnsi="Times New Roman" w:eastAsia="宋体" w:cs="Times New Roman"/>
                <w:spacing w:val="-2"/>
                <w:szCs w:val="21"/>
              </w:rPr>
              <w:t>员简介</w:t>
            </w:r>
          </w:p>
        </w:tc>
        <w:tc>
          <w:tcPr>
            <w:tcW w:w="7500" w:type="dxa"/>
            <w:gridSpan w:val="6"/>
            <w:vAlign w:val="center"/>
          </w:tcPr>
          <w:p w14:paraId="26CBCBD2">
            <w:pPr>
              <w:widowControl/>
              <w:jc w:val="left"/>
              <w:rPr>
                <w:rFonts w:hint="default" w:ascii="Times New Roman" w:hAnsi="Times New Roman" w:eastAsia="宋体" w:cs="Times New Roman"/>
                <w:kern w:val="0"/>
                <w:szCs w:val="21"/>
                <w:lang w:bidi="ar"/>
              </w:rPr>
            </w:pPr>
          </w:p>
        </w:tc>
      </w:tr>
    </w:tbl>
    <w:p w14:paraId="16A67250">
      <w:pPr>
        <w:pStyle w:val="7"/>
        <w:rPr>
          <w:rFonts w:hint="default" w:ascii="Times New Roman" w:hAnsi="Times New Roman" w:eastAsia="宋体" w:cs="Times New Roman"/>
          <w:b/>
          <w:bCs/>
          <w:color w:val="000000"/>
          <w:sz w:val="24"/>
          <w:szCs w:val="24"/>
        </w:rPr>
      </w:pPr>
    </w:p>
    <w:p w14:paraId="37B23B42">
      <w:pPr>
        <w:rPr>
          <w:rFonts w:hint="default" w:ascii="Times New Roman" w:hAnsi="Times New Roman" w:eastAsia="宋体" w:cs="Times New Roman"/>
          <w:b/>
          <w:bCs/>
          <w:color w:val="000000"/>
          <w:sz w:val="24"/>
          <w:szCs w:val="24"/>
        </w:rPr>
      </w:pPr>
      <w:r>
        <w:rPr>
          <w:rFonts w:hint="default" w:ascii="Times New Roman" w:hAnsi="Times New Roman" w:eastAsia="宋体" w:cs="Times New Roman"/>
          <w:b/>
          <w:bCs/>
          <w:color w:val="000000"/>
          <w:sz w:val="24"/>
          <w:szCs w:val="24"/>
        </w:rPr>
        <w:br w:type="page"/>
      </w:r>
    </w:p>
    <w:p w14:paraId="77D15F41">
      <w:pPr>
        <w:pStyle w:val="7"/>
        <w:outlineLvl w:val="2"/>
        <w:rPr>
          <w:rFonts w:hint="default" w:ascii="Times New Roman" w:hAnsi="Times New Roman" w:eastAsia="宋体" w:cs="Times New Roman"/>
          <w:b/>
          <w:bCs/>
          <w:color w:val="000000"/>
          <w:sz w:val="24"/>
          <w:szCs w:val="24"/>
        </w:rPr>
      </w:pPr>
      <w:r>
        <w:rPr>
          <w:rFonts w:hint="default" w:ascii="Times New Roman" w:hAnsi="Times New Roman" w:eastAsia="宋体" w:cs="Times New Roman"/>
          <w:spacing w:val="-9"/>
          <w:sz w:val="24"/>
          <w:szCs w:val="24"/>
          <w14:textOutline w14:w="4356" w14:cap="flat" w14:cmpd="sng" w14:algn="ctr">
            <w14:solidFill>
              <w14:srgbClr w14:val="000000"/>
            </w14:solidFill>
            <w14:prstDash w14:val="solid"/>
            <w14:miter w14:val="0"/>
          </w14:textOutline>
        </w:rPr>
        <w:t>表</w:t>
      </w:r>
      <w:r>
        <w:rPr>
          <w:rFonts w:hint="default" w:ascii="Times New Roman" w:hAnsi="Times New Roman" w:eastAsia="宋体" w:cs="Times New Roman"/>
          <w:b/>
          <w:bCs/>
          <w:spacing w:val="-7"/>
          <w:sz w:val="24"/>
          <w:szCs w:val="24"/>
        </w:rPr>
        <w:t xml:space="preserve"> </w:t>
      </w:r>
      <w:r>
        <w:rPr>
          <w:rFonts w:hint="eastAsia" w:ascii="Times New Roman" w:hAnsi="Times New Roman" w:eastAsia="宋体" w:cs="Times New Roman"/>
          <w:b/>
          <w:bCs/>
          <w:spacing w:val="-7"/>
          <w:sz w:val="24"/>
          <w:szCs w:val="24"/>
          <w:lang w:val="en-US" w:eastAsia="zh-CN"/>
        </w:rPr>
        <w:t>6</w:t>
      </w:r>
      <w:r>
        <w:rPr>
          <w:rFonts w:hint="default" w:ascii="Times New Roman" w:hAnsi="Times New Roman" w:eastAsia="宋体" w:cs="Times New Roman"/>
          <w:b/>
          <w:bCs/>
          <w:spacing w:val="-7"/>
          <w:sz w:val="24"/>
          <w:szCs w:val="24"/>
        </w:rPr>
        <w:t>-</w:t>
      </w:r>
      <w:r>
        <w:rPr>
          <w:rFonts w:hint="default" w:ascii="Times New Roman" w:hAnsi="Times New Roman" w:eastAsia="宋体" w:cs="Times New Roman"/>
          <w:spacing w:val="-7"/>
          <w:sz w:val="24"/>
          <w:szCs w:val="24"/>
          <w14:textOutline w14:w="4356" w14:cap="flat" w14:cmpd="sng" w14:algn="ctr">
            <w14:solidFill>
              <w14:srgbClr w14:val="000000"/>
            </w14:solidFill>
            <w14:prstDash w14:val="solid"/>
            <w14:miter w14:val="0"/>
          </w14:textOutline>
        </w:rPr>
        <w:t xml:space="preserve">2 </w:t>
      </w:r>
      <w:r>
        <w:rPr>
          <w:rFonts w:hint="default" w:ascii="Times New Roman" w:hAnsi="Times New Roman" w:eastAsia="宋体" w:cs="Times New Roman"/>
          <w:b/>
          <w:bCs/>
          <w:color w:val="000000"/>
          <w:sz w:val="24"/>
          <w:szCs w:val="24"/>
        </w:rPr>
        <w:t>资产情况汇总表</w:t>
      </w:r>
    </w:p>
    <w:tbl>
      <w:tblPr>
        <w:tblStyle w:val="1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2406"/>
        <w:gridCol w:w="2291"/>
        <w:gridCol w:w="2070"/>
      </w:tblGrid>
      <w:tr w14:paraId="2CA53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9286" w:type="dxa"/>
            <w:gridSpan w:val="4"/>
            <w:vAlign w:val="center"/>
          </w:tcPr>
          <w:p w14:paraId="207C90D3">
            <w:pPr>
              <w:spacing w:line="440" w:lineRule="exact"/>
              <w:jc w:val="center"/>
              <w:rPr>
                <w:rFonts w:hint="default" w:ascii="Times New Roman" w:hAnsi="Times New Roman" w:eastAsia="宋体" w:cs="Times New Roman"/>
                <w:color w:val="000000"/>
                <w:sz w:val="24"/>
                <w:szCs w:val="24"/>
                <w:u w:val="single"/>
              </w:rPr>
            </w:pPr>
            <w:r>
              <w:rPr>
                <w:rFonts w:hint="default" w:ascii="Times New Roman" w:hAnsi="Times New Roman" w:eastAsia="宋体" w:cs="Times New Roman"/>
                <w:color w:val="000000"/>
                <w:sz w:val="24"/>
                <w:szCs w:val="24"/>
                <w:u w:val="single"/>
              </w:rPr>
              <w:t xml:space="preserve">                   </w:t>
            </w:r>
            <w:r>
              <w:rPr>
                <w:rFonts w:hint="default" w:ascii="Times New Roman" w:hAnsi="Times New Roman" w:eastAsia="宋体" w:cs="Times New Roman"/>
                <w:color w:val="000000"/>
                <w:sz w:val="24"/>
                <w:szCs w:val="24"/>
              </w:rPr>
              <w:t>公司资产情况汇总表</w:t>
            </w:r>
          </w:p>
        </w:tc>
      </w:tr>
      <w:tr w14:paraId="6B6C6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212A8763">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注册资金（万元）</w:t>
            </w:r>
          </w:p>
        </w:tc>
        <w:tc>
          <w:tcPr>
            <w:tcW w:w="6767" w:type="dxa"/>
            <w:gridSpan w:val="3"/>
          </w:tcPr>
          <w:p w14:paraId="2371F87B">
            <w:pPr>
              <w:spacing w:line="440" w:lineRule="exact"/>
              <w:jc w:val="center"/>
              <w:rPr>
                <w:rFonts w:hint="default" w:ascii="Times New Roman" w:hAnsi="Times New Roman" w:cs="Times New Roman"/>
                <w:color w:val="000000"/>
                <w:sz w:val="24"/>
                <w:szCs w:val="24"/>
              </w:rPr>
            </w:pPr>
          </w:p>
        </w:tc>
      </w:tr>
      <w:tr w14:paraId="1F9AD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0D871C69">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实收资金（万元）</w:t>
            </w:r>
          </w:p>
        </w:tc>
        <w:tc>
          <w:tcPr>
            <w:tcW w:w="6767" w:type="dxa"/>
            <w:gridSpan w:val="3"/>
          </w:tcPr>
          <w:p w14:paraId="56A75C5E">
            <w:pPr>
              <w:spacing w:line="440" w:lineRule="exact"/>
              <w:jc w:val="center"/>
              <w:rPr>
                <w:rFonts w:hint="default" w:ascii="Times New Roman" w:hAnsi="Times New Roman" w:cs="Times New Roman"/>
                <w:color w:val="000000"/>
                <w:sz w:val="24"/>
                <w:szCs w:val="24"/>
              </w:rPr>
            </w:pPr>
          </w:p>
        </w:tc>
      </w:tr>
      <w:tr w14:paraId="6D6C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295FFF8D">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年度资产情况</w:t>
            </w:r>
          </w:p>
        </w:tc>
        <w:tc>
          <w:tcPr>
            <w:tcW w:w="2406" w:type="dxa"/>
            <w:vAlign w:val="center"/>
          </w:tcPr>
          <w:p w14:paraId="421F054C">
            <w:pPr>
              <w:spacing w:line="440" w:lineRule="exact"/>
              <w:jc w:val="center"/>
              <w:rPr>
                <w:rFonts w:hint="default" w:ascii="Times New Roman" w:hAnsi="Times New Roman" w:cs="Times New Roman"/>
                <w:color w:val="000000"/>
                <w:sz w:val="24"/>
                <w:szCs w:val="24"/>
              </w:rPr>
            </w:pPr>
            <w:r>
              <w:rPr>
                <w:rFonts w:hint="eastAsia" w:cs="Times New Roman"/>
                <w:color w:val="000000"/>
                <w:sz w:val="24"/>
                <w:szCs w:val="24"/>
                <w:lang w:val="en-US" w:eastAsia="zh-CN"/>
              </w:rPr>
              <w:t>2023</w:t>
            </w:r>
            <w:r>
              <w:rPr>
                <w:rFonts w:hint="default" w:ascii="Times New Roman" w:hAnsi="Times New Roman" w:eastAsia="宋体" w:cs="Times New Roman"/>
                <w:color w:val="000000"/>
                <w:sz w:val="24"/>
                <w:szCs w:val="24"/>
              </w:rPr>
              <w:t>年</w:t>
            </w:r>
          </w:p>
        </w:tc>
        <w:tc>
          <w:tcPr>
            <w:tcW w:w="2291" w:type="dxa"/>
            <w:vAlign w:val="center"/>
          </w:tcPr>
          <w:p w14:paraId="2C62B36F">
            <w:pPr>
              <w:spacing w:line="440" w:lineRule="exact"/>
              <w:jc w:val="center"/>
              <w:rPr>
                <w:rFonts w:hint="default" w:ascii="Times New Roman" w:hAnsi="Times New Roman" w:cs="Times New Roman"/>
                <w:color w:val="000000"/>
                <w:sz w:val="24"/>
                <w:szCs w:val="24"/>
              </w:rPr>
            </w:pPr>
            <w:r>
              <w:rPr>
                <w:rFonts w:hint="eastAsia" w:cs="Times New Roman"/>
                <w:color w:val="000000"/>
                <w:sz w:val="24"/>
                <w:szCs w:val="24"/>
                <w:lang w:val="en-US" w:eastAsia="zh-CN"/>
              </w:rPr>
              <w:t>2024</w:t>
            </w:r>
            <w:r>
              <w:rPr>
                <w:rFonts w:hint="default" w:ascii="Times New Roman" w:hAnsi="Times New Roman" w:eastAsia="宋体" w:cs="Times New Roman"/>
                <w:color w:val="000000"/>
                <w:sz w:val="24"/>
                <w:szCs w:val="24"/>
              </w:rPr>
              <w:t>年</w:t>
            </w:r>
          </w:p>
        </w:tc>
        <w:tc>
          <w:tcPr>
            <w:tcW w:w="2070" w:type="dxa"/>
            <w:vAlign w:val="center"/>
          </w:tcPr>
          <w:p w14:paraId="21B1E4DC">
            <w:pPr>
              <w:spacing w:line="440" w:lineRule="exact"/>
              <w:jc w:val="center"/>
              <w:rPr>
                <w:rFonts w:hint="default" w:ascii="Times New Roman" w:hAnsi="Times New Roman" w:eastAsia="宋体" w:cs="Times New Roman"/>
                <w:color w:val="000000"/>
                <w:sz w:val="24"/>
                <w:szCs w:val="24"/>
              </w:rPr>
            </w:pPr>
            <w:r>
              <w:rPr>
                <w:rFonts w:hint="eastAsia" w:cs="Times New Roman"/>
                <w:color w:val="000000"/>
                <w:sz w:val="24"/>
                <w:szCs w:val="24"/>
                <w:lang w:val="en-US" w:eastAsia="zh-CN"/>
              </w:rPr>
              <w:t>2025</w:t>
            </w:r>
            <w:r>
              <w:rPr>
                <w:rFonts w:hint="default" w:ascii="Times New Roman" w:hAnsi="Times New Roman" w:eastAsia="宋体" w:cs="Times New Roman"/>
                <w:color w:val="000000"/>
                <w:sz w:val="24"/>
                <w:szCs w:val="24"/>
              </w:rPr>
              <w:t>年</w:t>
            </w:r>
          </w:p>
        </w:tc>
      </w:tr>
      <w:tr w14:paraId="78A7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5B083161">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流动资产（万元）</w:t>
            </w:r>
          </w:p>
        </w:tc>
        <w:tc>
          <w:tcPr>
            <w:tcW w:w="2406" w:type="dxa"/>
          </w:tcPr>
          <w:p w14:paraId="4D376632">
            <w:pPr>
              <w:spacing w:line="440" w:lineRule="exact"/>
              <w:jc w:val="center"/>
              <w:rPr>
                <w:rFonts w:hint="default" w:ascii="Times New Roman" w:hAnsi="Times New Roman" w:cs="Times New Roman"/>
                <w:color w:val="000000"/>
                <w:sz w:val="24"/>
                <w:szCs w:val="24"/>
              </w:rPr>
            </w:pPr>
          </w:p>
        </w:tc>
        <w:tc>
          <w:tcPr>
            <w:tcW w:w="2291" w:type="dxa"/>
          </w:tcPr>
          <w:p w14:paraId="116B65B2">
            <w:pPr>
              <w:spacing w:line="440" w:lineRule="exact"/>
              <w:jc w:val="center"/>
              <w:rPr>
                <w:rFonts w:hint="default" w:ascii="Times New Roman" w:hAnsi="Times New Roman" w:cs="Times New Roman"/>
                <w:color w:val="000000"/>
                <w:sz w:val="24"/>
                <w:szCs w:val="24"/>
              </w:rPr>
            </w:pPr>
          </w:p>
        </w:tc>
        <w:tc>
          <w:tcPr>
            <w:tcW w:w="2070" w:type="dxa"/>
          </w:tcPr>
          <w:p w14:paraId="0666066E">
            <w:pPr>
              <w:spacing w:line="440" w:lineRule="exact"/>
              <w:jc w:val="center"/>
              <w:rPr>
                <w:rFonts w:hint="default" w:ascii="Times New Roman" w:hAnsi="Times New Roman" w:cs="Times New Roman"/>
                <w:color w:val="000000"/>
                <w:sz w:val="24"/>
                <w:szCs w:val="24"/>
              </w:rPr>
            </w:pPr>
          </w:p>
        </w:tc>
      </w:tr>
      <w:tr w14:paraId="0D071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0FFABC3C">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非流动资产（万元）</w:t>
            </w:r>
          </w:p>
        </w:tc>
        <w:tc>
          <w:tcPr>
            <w:tcW w:w="2406" w:type="dxa"/>
          </w:tcPr>
          <w:p w14:paraId="15907EBD">
            <w:pPr>
              <w:spacing w:line="440" w:lineRule="exact"/>
              <w:jc w:val="center"/>
              <w:rPr>
                <w:rFonts w:hint="default" w:ascii="Times New Roman" w:hAnsi="Times New Roman" w:cs="Times New Roman"/>
                <w:color w:val="000000"/>
                <w:sz w:val="24"/>
                <w:szCs w:val="24"/>
              </w:rPr>
            </w:pPr>
          </w:p>
        </w:tc>
        <w:tc>
          <w:tcPr>
            <w:tcW w:w="2291" w:type="dxa"/>
          </w:tcPr>
          <w:p w14:paraId="6C883E28">
            <w:pPr>
              <w:spacing w:line="440" w:lineRule="exact"/>
              <w:jc w:val="center"/>
              <w:rPr>
                <w:rFonts w:hint="default" w:ascii="Times New Roman" w:hAnsi="Times New Roman" w:cs="Times New Roman"/>
                <w:color w:val="000000"/>
                <w:sz w:val="24"/>
                <w:szCs w:val="24"/>
              </w:rPr>
            </w:pPr>
          </w:p>
        </w:tc>
        <w:tc>
          <w:tcPr>
            <w:tcW w:w="2070" w:type="dxa"/>
          </w:tcPr>
          <w:p w14:paraId="4BFC344D">
            <w:pPr>
              <w:spacing w:line="440" w:lineRule="exact"/>
              <w:jc w:val="center"/>
              <w:rPr>
                <w:rFonts w:hint="default" w:ascii="Times New Roman" w:hAnsi="Times New Roman" w:cs="Times New Roman"/>
                <w:color w:val="000000"/>
                <w:sz w:val="24"/>
                <w:szCs w:val="24"/>
              </w:rPr>
            </w:pPr>
          </w:p>
        </w:tc>
      </w:tr>
      <w:tr w14:paraId="6FD70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4186EAE9">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营业收入（万元）</w:t>
            </w:r>
          </w:p>
        </w:tc>
        <w:tc>
          <w:tcPr>
            <w:tcW w:w="2406" w:type="dxa"/>
          </w:tcPr>
          <w:p w14:paraId="2C16B1A8">
            <w:pPr>
              <w:spacing w:line="440" w:lineRule="exact"/>
              <w:jc w:val="center"/>
              <w:rPr>
                <w:rFonts w:hint="default" w:ascii="Times New Roman" w:hAnsi="Times New Roman" w:cs="Times New Roman"/>
                <w:color w:val="000000"/>
                <w:sz w:val="24"/>
                <w:szCs w:val="24"/>
                <w:highlight w:val="yellow"/>
              </w:rPr>
            </w:pPr>
          </w:p>
        </w:tc>
        <w:tc>
          <w:tcPr>
            <w:tcW w:w="2291" w:type="dxa"/>
          </w:tcPr>
          <w:p w14:paraId="5286A60A">
            <w:pPr>
              <w:spacing w:line="440" w:lineRule="exact"/>
              <w:jc w:val="center"/>
              <w:rPr>
                <w:rFonts w:hint="default" w:ascii="Times New Roman" w:hAnsi="Times New Roman" w:cs="Times New Roman"/>
                <w:color w:val="000000"/>
                <w:sz w:val="24"/>
                <w:szCs w:val="24"/>
                <w:highlight w:val="yellow"/>
              </w:rPr>
            </w:pPr>
          </w:p>
        </w:tc>
        <w:tc>
          <w:tcPr>
            <w:tcW w:w="2070" w:type="dxa"/>
          </w:tcPr>
          <w:p w14:paraId="39D55057">
            <w:pPr>
              <w:spacing w:line="440" w:lineRule="exact"/>
              <w:jc w:val="center"/>
              <w:rPr>
                <w:rFonts w:hint="default" w:ascii="Times New Roman" w:hAnsi="Times New Roman" w:cs="Times New Roman"/>
                <w:color w:val="000000"/>
                <w:sz w:val="24"/>
                <w:szCs w:val="24"/>
                <w:highlight w:val="yellow"/>
              </w:rPr>
            </w:pPr>
          </w:p>
        </w:tc>
      </w:tr>
      <w:tr w14:paraId="5889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652E9AFC">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年底资产总值（万元）</w:t>
            </w:r>
          </w:p>
        </w:tc>
        <w:tc>
          <w:tcPr>
            <w:tcW w:w="2406" w:type="dxa"/>
          </w:tcPr>
          <w:p w14:paraId="57ED4171">
            <w:pPr>
              <w:spacing w:line="440" w:lineRule="exact"/>
              <w:jc w:val="center"/>
              <w:rPr>
                <w:rFonts w:hint="default" w:ascii="Times New Roman" w:hAnsi="Times New Roman" w:cs="Times New Roman"/>
                <w:color w:val="000000"/>
                <w:sz w:val="24"/>
                <w:szCs w:val="24"/>
              </w:rPr>
            </w:pPr>
          </w:p>
        </w:tc>
        <w:tc>
          <w:tcPr>
            <w:tcW w:w="2291" w:type="dxa"/>
          </w:tcPr>
          <w:p w14:paraId="5A91753E">
            <w:pPr>
              <w:spacing w:line="440" w:lineRule="exact"/>
              <w:jc w:val="center"/>
              <w:rPr>
                <w:rFonts w:hint="default" w:ascii="Times New Roman" w:hAnsi="Times New Roman" w:cs="Times New Roman"/>
                <w:color w:val="000000"/>
                <w:sz w:val="24"/>
                <w:szCs w:val="24"/>
              </w:rPr>
            </w:pPr>
          </w:p>
        </w:tc>
        <w:tc>
          <w:tcPr>
            <w:tcW w:w="2070" w:type="dxa"/>
          </w:tcPr>
          <w:p w14:paraId="0C3B2F18">
            <w:pPr>
              <w:spacing w:line="440" w:lineRule="exact"/>
              <w:jc w:val="center"/>
              <w:rPr>
                <w:rFonts w:hint="default" w:ascii="Times New Roman" w:hAnsi="Times New Roman" w:cs="Times New Roman"/>
                <w:color w:val="000000"/>
                <w:sz w:val="24"/>
                <w:szCs w:val="24"/>
              </w:rPr>
            </w:pPr>
          </w:p>
        </w:tc>
      </w:tr>
      <w:tr w14:paraId="7FCB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278E61C3">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年底负债总值（万元）</w:t>
            </w:r>
          </w:p>
        </w:tc>
        <w:tc>
          <w:tcPr>
            <w:tcW w:w="2406" w:type="dxa"/>
          </w:tcPr>
          <w:p w14:paraId="54797E84">
            <w:pPr>
              <w:spacing w:line="440" w:lineRule="exact"/>
              <w:jc w:val="center"/>
              <w:rPr>
                <w:rFonts w:hint="default" w:ascii="Times New Roman" w:hAnsi="Times New Roman" w:cs="Times New Roman"/>
                <w:color w:val="000000"/>
                <w:sz w:val="24"/>
                <w:szCs w:val="24"/>
              </w:rPr>
            </w:pPr>
          </w:p>
        </w:tc>
        <w:tc>
          <w:tcPr>
            <w:tcW w:w="2291" w:type="dxa"/>
          </w:tcPr>
          <w:p w14:paraId="1B1BEA8B">
            <w:pPr>
              <w:spacing w:line="440" w:lineRule="exact"/>
              <w:jc w:val="center"/>
              <w:rPr>
                <w:rFonts w:hint="default" w:ascii="Times New Roman" w:hAnsi="Times New Roman" w:cs="Times New Roman"/>
                <w:color w:val="000000"/>
                <w:sz w:val="24"/>
                <w:szCs w:val="24"/>
              </w:rPr>
            </w:pPr>
          </w:p>
        </w:tc>
        <w:tc>
          <w:tcPr>
            <w:tcW w:w="2070" w:type="dxa"/>
          </w:tcPr>
          <w:p w14:paraId="7D4C9EFE">
            <w:pPr>
              <w:spacing w:line="440" w:lineRule="exact"/>
              <w:jc w:val="center"/>
              <w:rPr>
                <w:rFonts w:hint="default" w:ascii="Times New Roman" w:hAnsi="Times New Roman" w:cs="Times New Roman"/>
                <w:color w:val="000000"/>
                <w:sz w:val="24"/>
                <w:szCs w:val="24"/>
              </w:rPr>
            </w:pPr>
          </w:p>
        </w:tc>
      </w:tr>
      <w:tr w14:paraId="74FF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702B93BD">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资产负债率（  %）</w:t>
            </w:r>
          </w:p>
        </w:tc>
        <w:tc>
          <w:tcPr>
            <w:tcW w:w="2406" w:type="dxa"/>
          </w:tcPr>
          <w:p w14:paraId="6AE4DC65">
            <w:pPr>
              <w:spacing w:line="440" w:lineRule="exact"/>
              <w:jc w:val="center"/>
              <w:rPr>
                <w:rFonts w:hint="default" w:ascii="Times New Roman" w:hAnsi="Times New Roman" w:cs="Times New Roman"/>
                <w:color w:val="000000"/>
                <w:sz w:val="24"/>
                <w:szCs w:val="24"/>
                <w:highlight w:val="yellow"/>
              </w:rPr>
            </w:pPr>
          </w:p>
        </w:tc>
        <w:tc>
          <w:tcPr>
            <w:tcW w:w="2291" w:type="dxa"/>
          </w:tcPr>
          <w:p w14:paraId="07983BCD">
            <w:pPr>
              <w:spacing w:line="440" w:lineRule="exact"/>
              <w:jc w:val="center"/>
              <w:rPr>
                <w:rFonts w:hint="default" w:ascii="Times New Roman" w:hAnsi="Times New Roman" w:cs="Times New Roman"/>
                <w:color w:val="000000"/>
                <w:sz w:val="24"/>
                <w:szCs w:val="24"/>
                <w:highlight w:val="yellow"/>
              </w:rPr>
            </w:pPr>
          </w:p>
        </w:tc>
        <w:tc>
          <w:tcPr>
            <w:tcW w:w="2070" w:type="dxa"/>
          </w:tcPr>
          <w:p w14:paraId="2AA69041">
            <w:pPr>
              <w:spacing w:line="440" w:lineRule="exact"/>
              <w:jc w:val="center"/>
              <w:rPr>
                <w:rFonts w:hint="default" w:ascii="Times New Roman" w:hAnsi="Times New Roman" w:cs="Times New Roman"/>
                <w:color w:val="000000"/>
                <w:sz w:val="24"/>
                <w:szCs w:val="24"/>
                <w:highlight w:val="yellow"/>
              </w:rPr>
            </w:pPr>
          </w:p>
        </w:tc>
      </w:tr>
      <w:tr w14:paraId="2BDB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6205F2EB">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净利润（万元）</w:t>
            </w:r>
          </w:p>
        </w:tc>
        <w:tc>
          <w:tcPr>
            <w:tcW w:w="2406" w:type="dxa"/>
          </w:tcPr>
          <w:p w14:paraId="61132F79">
            <w:pPr>
              <w:spacing w:line="440" w:lineRule="exact"/>
              <w:jc w:val="center"/>
              <w:rPr>
                <w:rFonts w:hint="default" w:ascii="Times New Roman" w:hAnsi="Times New Roman" w:cs="Times New Roman"/>
                <w:color w:val="000000"/>
                <w:sz w:val="24"/>
                <w:szCs w:val="24"/>
                <w:highlight w:val="yellow"/>
              </w:rPr>
            </w:pPr>
          </w:p>
        </w:tc>
        <w:tc>
          <w:tcPr>
            <w:tcW w:w="2291" w:type="dxa"/>
          </w:tcPr>
          <w:p w14:paraId="053ED9FF">
            <w:pPr>
              <w:spacing w:line="440" w:lineRule="exact"/>
              <w:jc w:val="center"/>
              <w:rPr>
                <w:rFonts w:hint="default" w:ascii="Times New Roman" w:hAnsi="Times New Roman" w:cs="Times New Roman"/>
                <w:color w:val="000000"/>
                <w:sz w:val="24"/>
                <w:szCs w:val="24"/>
                <w:highlight w:val="yellow"/>
              </w:rPr>
            </w:pPr>
          </w:p>
        </w:tc>
        <w:tc>
          <w:tcPr>
            <w:tcW w:w="2070" w:type="dxa"/>
          </w:tcPr>
          <w:p w14:paraId="0E8347BA">
            <w:pPr>
              <w:spacing w:line="440" w:lineRule="exact"/>
              <w:jc w:val="center"/>
              <w:rPr>
                <w:rFonts w:hint="default" w:ascii="Times New Roman" w:hAnsi="Times New Roman" w:cs="Times New Roman"/>
                <w:color w:val="000000"/>
                <w:sz w:val="24"/>
                <w:szCs w:val="24"/>
                <w:highlight w:val="yellow"/>
              </w:rPr>
            </w:pPr>
          </w:p>
        </w:tc>
      </w:tr>
      <w:tr w14:paraId="470A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5F6536FE">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未分配利润（万元）</w:t>
            </w:r>
          </w:p>
        </w:tc>
        <w:tc>
          <w:tcPr>
            <w:tcW w:w="2406" w:type="dxa"/>
          </w:tcPr>
          <w:p w14:paraId="176AD56A">
            <w:pPr>
              <w:spacing w:line="440" w:lineRule="exact"/>
              <w:jc w:val="center"/>
              <w:rPr>
                <w:rFonts w:hint="default" w:ascii="Times New Roman" w:hAnsi="Times New Roman" w:cs="Times New Roman"/>
                <w:color w:val="000000"/>
                <w:sz w:val="24"/>
                <w:szCs w:val="24"/>
              </w:rPr>
            </w:pPr>
          </w:p>
        </w:tc>
        <w:tc>
          <w:tcPr>
            <w:tcW w:w="2291" w:type="dxa"/>
          </w:tcPr>
          <w:p w14:paraId="50CFBC4E">
            <w:pPr>
              <w:spacing w:line="440" w:lineRule="exact"/>
              <w:jc w:val="center"/>
              <w:rPr>
                <w:rFonts w:hint="default" w:ascii="Times New Roman" w:hAnsi="Times New Roman" w:cs="Times New Roman"/>
                <w:color w:val="000000"/>
                <w:sz w:val="24"/>
                <w:szCs w:val="24"/>
              </w:rPr>
            </w:pPr>
          </w:p>
        </w:tc>
        <w:tc>
          <w:tcPr>
            <w:tcW w:w="2070" w:type="dxa"/>
          </w:tcPr>
          <w:p w14:paraId="767F928A">
            <w:pPr>
              <w:spacing w:line="440" w:lineRule="exact"/>
              <w:jc w:val="center"/>
              <w:rPr>
                <w:rFonts w:hint="default" w:ascii="Times New Roman" w:hAnsi="Times New Roman" w:cs="Times New Roman"/>
                <w:color w:val="000000"/>
                <w:sz w:val="24"/>
                <w:szCs w:val="24"/>
              </w:rPr>
            </w:pPr>
          </w:p>
        </w:tc>
      </w:tr>
      <w:tr w14:paraId="6955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7AFCDBBD">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营运资金</w:t>
            </w:r>
          </w:p>
        </w:tc>
        <w:tc>
          <w:tcPr>
            <w:tcW w:w="2406" w:type="dxa"/>
          </w:tcPr>
          <w:p w14:paraId="5513EB2F">
            <w:pPr>
              <w:spacing w:line="440" w:lineRule="exact"/>
              <w:jc w:val="center"/>
              <w:rPr>
                <w:rFonts w:hint="default" w:ascii="Times New Roman" w:hAnsi="Times New Roman" w:cs="Times New Roman"/>
                <w:color w:val="000000"/>
                <w:sz w:val="24"/>
                <w:szCs w:val="24"/>
              </w:rPr>
            </w:pPr>
          </w:p>
        </w:tc>
        <w:tc>
          <w:tcPr>
            <w:tcW w:w="2291" w:type="dxa"/>
          </w:tcPr>
          <w:p w14:paraId="1E0B724A">
            <w:pPr>
              <w:spacing w:line="440" w:lineRule="exact"/>
              <w:jc w:val="center"/>
              <w:rPr>
                <w:rFonts w:hint="default" w:ascii="Times New Roman" w:hAnsi="Times New Roman" w:cs="Times New Roman"/>
                <w:color w:val="000000"/>
                <w:sz w:val="24"/>
                <w:szCs w:val="24"/>
              </w:rPr>
            </w:pPr>
          </w:p>
        </w:tc>
        <w:tc>
          <w:tcPr>
            <w:tcW w:w="2070" w:type="dxa"/>
          </w:tcPr>
          <w:p w14:paraId="23C5D61C">
            <w:pPr>
              <w:spacing w:line="440" w:lineRule="exact"/>
              <w:jc w:val="center"/>
              <w:rPr>
                <w:rFonts w:hint="default" w:ascii="Times New Roman" w:hAnsi="Times New Roman" w:cs="Times New Roman"/>
                <w:color w:val="000000"/>
                <w:sz w:val="24"/>
                <w:szCs w:val="24"/>
              </w:rPr>
            </w:pPr>
          </w:p>
        </w:tc>
      </w:tr>
      <w:tr w14:paraId="3EB7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2519" w:type="dxa"/>
            <w:vAlign w:val="center"/>
          </w:tcPr>
          <w:p w14:paraId="4F92ABC4">
            <w:pPr>
              <w:spacing w:line="440" w:lineRule="exact"/>
              <w:jc w:val="center"/>
              <w:rPr>
                <w:rFonts w:hint="default" w:ascii="Times New Roman" w:hAnsi="Times New Roman" w:cs="Times New Roman"/>
                <w:color w:val="000000"/>
                <w:sz w:val="24"/>
                <w:szCs w:val="24"/>
              </w:rPr>
            </w:pPr>
            <w:r>
              <w:rPr>
                <w:rFonts w:hint="default" w:ascii="Times New Roman" w:hAnsi="Times New Roman" w:eastAsia="宋体" w:cs="Times New Roman"/>
                <w:color w:val="000000"/>
                <w:sz w:val="24"/>
                <w:szCs w:val="24"/>
              </w:rPr>
              <w:t>（本年营业收入-上年营业收入）÷上年营业收入</w:t>
            </w:r>
          </w:p>
        </w:tc>
        <w:tc>
          <w:tcPr>
            <w:tcW w:w="2406" w:type="dxa"/>
          </w:tcPr>
          <w:p w14:paraId="497710BA">
            <w:pPr>
              <w:spacing w:line="440" w:lineRule="exact"/>
              <w:jc w:val="center"/>
              <w:rPr>
                <w:rFonts w:hint="default" w:ascii="Times New Roman" w:hAnsi="Times New Roman" w:cs="Times New Roman"/>
                <w:color w:val="000000"/>
                <w:sz w:val="24"/>
                <w:szCs w:val="24"/>
              </w:rPr>
            </w:pPr>
          </w:p>
        </w:tc>
        <w:tc>
          <w:tcPr>
            <w:tcW w:w="2291" w:type="dxa"/>
          </w:tcPr>
          <w:p w14:paraId="0BFD63C2">
            <w:pPr>
              <w:spacing w:line="440" w:lineRule="exact"/>
              <w:jc w:val="center"/>
              <w:rPr>
                <w:rFonts w:hint="default" w:ascii="Times New Roman" w:hAnsi="Times New Roman" w:cs="Times New Roman"/>
                <w:color w:val="000000"/>
                <w:sz w:val="24"/>
                <w:szCs w:val="24"/>
              </w:rPr>
            </w:pPr>
          </w:p>
        </w:tc>
        <w:tc>
          <w:tcPr>
            <w:tcW w:w="2070" w:type="dxa"/>
          </w:tcPr>
          <w:p w14:paraId="53579C71">
            <w:pPr>
              <w:spacing w:line="440" w:lineRule="exact"/>
              <w:jc w:val="center"/>
              <w:rPr>
                <w:rFonts w:hint="default" w:ascii="Times New Roman" w:hAnsi="Times New Roman" w:cs="Times New Roman"/>
                <w:color w:val="000000"/>
                <w:sz w:val="24"/>
                <w:szCs w:val="24"/>
              </w:rPr>
            </w:pPr>
          </w:p>
        </w:tc>
      </w:tr>
    </w:tbl>
    <w:p w14:paraId="7E43FFC9">
      <w:pPr>
        <w:autoSpaceDE w:val="0"/>
        <w:autoSpaceDN w:val="0"/>
        <w:spacing w:line="500" w:lineRule="exact"/>
        <w:ind w:right="-5"/>
        <w:textAlignment w:val="bottom"/>
        <w:rPr>
          <w:rFonts w:ascii="宋体" w:cs="宋体"/>
        </w:rPr>
      </w:pPr>
      <w:r>
        <w:rPr>
          <w:rFonts w:hint="eastAsia" w:ascii="宋体" w:hAnsi="宋体" w:cs="宋体"/>
        </w:rPr>
        <w:t>注：投标人应同时提供近三年经审计的财务报表（或近三年的财务资料）</w:t>
      </w:r>
    </w:p>
    <w:p w14:paraId="47A0786A">
      <w:pPr>
        <w:spacing w:line="660" w:lineRule="exact"/>
        <w:ind w:firstLine="240" w:firstLineChars="100"/>
        <w:rPr>
          <w:rFonts w:hint="default" w:ascii="Times New Roman" w:hAnsi="Times New Roman" w:eastAsia="宋体" w:cs="Times New Roman"/>
          <w:sz w:val="24"/>
          <w:szCs w:val="20"/>
        </w:rPr>
      </w:pPr>
      <w:r>
        <w:rPr>
          <w:rFonts w:hint="default" w:ascii="Times New Roman" w:hAnsi="Times New Roman" w:eastAsia="宋体" w:cs="Times New Roman"/>
          <w:sz w:val="24"/>
          <w:szCs w:val="20"/>
        </w:rPr>
        <w:t>投标人：（盖章）</w:t>
      </w:r>
    </w:p>
    <w:p w14:paraId="40149726">
      <w:pPr>
        <w:spacing w:line="660" w:lineRule="exact"/>
        <w:ind w:firstLine="240" w:firstLineChars="100"/>
        <w:rPr>
          <w:rFonts w:hint="default" w:ascii="Times New Roman" w:hAnsi="Times New Roman" w:eastAsia="宋体" w:cs="Times New Roman"/>
          <w:sz w:val="24"/>
          <w:szCs w:val="20"/>
        </w:rPr>
      </w:pPr>
      <w:r>
        <w:rPr>
          <w:rFonts w:hint="default" w:ascii="Times New Roman" w:hAnsi="Times New Roman" w:eastAsia="宋体" w:cs="Times New Roman"/>
          <w:sz w:val="24"/>
          <w:szCs w:val="20"/>
        </w:rPr>
        <w:t>法定代表人（委托代理人）：（签字）</w:t>
      </w:r>
    </w:p>
    <w:p w14:paraId="6152FBC4">
      <w:pPr>
        <w:spacing w:line="660" w:lineRule="exact"/>
        <w:ind w:firstLine="240" w:firstLineChars="100"/>
        <w:rPr>
          <w:rFonts w:hint="default" w:ascii="Times New Roman" w:hAnsi="Times New Roman" w:eastAsia="宋体" w:cs="Times New Roman"/>
          <w:b/>
          <w:bCs/>
          <w:color w:val="000000"/>
          <w:sz w:val="28"/>
          <w:szCs w:val="20"/>
        </w:rPr>
      </w:pPr>
      <w:r>
        <w:rPr>
          <w:rFonts w:hint="default" w:ascii="Times New Roman" w:hAnsi="Times New Roman" w:eastAsia="宋体" w:cs="Times New Roman"/>
          <w:sz w:val="24"/>
          <w:szCs w:val="20"/>
        </w:rPr>
        <w:t>日  期：</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年</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月</w:t>
      </w:r>
      <w:r>
        <w:rPr>
          <w:rFonts w:hint="default" w:ascii="Times New Roman" w:hAnsi="Times New Roman" w:eastAsia="宋体" w:cs="Times New Roman"/>
          <w:sz w:val="24"/>
          <w:szCs w:val="20"/>
          <w:u w:val="single"/>
        </w:rPr>
        <w:t xml:space="preserve">    </w:t>
      </w:r>
      <w:r>
        <w:rPr>
          <w:rFonts w:hint="default" w:ascii="Times New Roman" w:hAnsi="Times New Roman" w:eastAsia="宋体" w:cs="Times New Roman"/>
          <w:sz w:val="24"/>
          <w:szCs w:val="20"/>
        </w:rPr>
        <w:t>日</w:t>
      </w:r>
    </w:p>
    <w:p w14:paraId="577F4E95">
      <w:pPr>
        <w:rPr>
          <w:rFonts w:hint="default" w:ascii="Times New Roman" w:hAnsi="Times New Roman" w:cs="Times New Roman"/>
        </w:rPr>
        <w:sectPr>
          <w:footerReference r:id="rId6" w:type="first"/>
          <w:footerReference r:id="rId5" w:type="default"/>
          <w:pgSz w:w="11906" w:h="16838"/>
          <w:pgMar w:top="1588" w:right="1418" w:bottom="1134" w:left="1418"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6DB96DCE">
      <w:pPr>
        <w:widowControl/>
        <w:spacing w:line="500" w:lineRule="exact"/>
        <w:jc w:val="left"/>
        <w:rPr>
          <w:rFonts w:hint="default" w:ascii="Times New Roman" w:hAnsi="Times New Roman" w:eastAsia="宋体" w:cs="Times New Roman"/>
          <w:b/>
          <w:color w:val="000000"/>
          <w:sz w:val="32"/>
        </w:rPr>
      </w:pPr>
      <w:r>
        <w:rPr>
          <w:color w:val="000000"/>
          <w:sz w:val="24"/>
          <w:szCs w:val="24"/>
        </w:rPr>
        <w:t>附件</w:t>
      </w:r>
      <w:r>
        <w:rPr>
          <w:rFonts w:hint="eastAsia"/>
          <w:color w:val="000000"/>
          <w:sz w:val="24"/>
          <w:szCs w:val="24"/>
          <w:lang w:val="en-US" w:eastAsia="zh-CN"/>
        </w:rPr>
        <w:t>7</w:t>
      </w:r>
      <w:r>
        <w:rPr>
          <w:color w:val="000000"/>
          <w:sz w:val="24"/>
          <w:szCs w:val="24"/>
        </w:rPr>
        <w:t xml:space="preserve">                       </w:t>
      </w:r>
      <w:r>
        <w:rPr>
          <w:rFonts w:hint="eastAsia"/>
          <w:color w:val="000000"/>
          <w:sz w:val="24"/>
          <w:szCs w:val="24"/>
          <w:lang w:val="en-US" w:eastAsia="zh-CN"/>
        </w:rPr>
        <w:t xml:space="preserve">   </w:t>
      </w:r>
      <w:r>
        <w:rPr>
          <w:rFonts w:hint="default" w:ascii="Times New Roman" w:hAnsi="Times New Roman" w:eastAsia="宋体" w:cs="Times New Roman"/>
          <w:b/>
          <w:color w:val="000000"/>
          <w:sz w:val="32"/>
        </w:rPr>
        <w:t xml:space="preserve"> 业绩表</w:t>
      </w:r>
    </w:p>
    <w:p w14:paraId="0D78451E">
      <w:pPr>
        <w:widowControl/>
        <w:spacing w:after="120"/>
        <w:jc w:val="left"/>
        <w:rPr>
          <w:color w:val="000000"/>
          <w:sz w:val="24"/>
          <w:szCs w:val="24"/>
        </w:rPr>
      </w:pPr>
    </w:p>
    <w:p w14:paraId="4370DA73">
      <w:pPr>
        <w:widowControl/>
        <w:spacing w:after="120"/>
        <w:jc w:val="left"/>
        <w:rPr>
          <w:color w:val="0000FF"/>
          <w:sz w:val="24"/>
          <w:szCs w:val="24"/>
        </w:rPr>
      </w:pPr>
      <w:r>
        <w:rPr>
          <w:color w:val="000000"/>
          <w:sz w:val="24"/>
          <w:szCs w:val="24"/>
        </w:rPr>
        <w:t>近三年承揽同类或相似项目和服务业绩，包括已收到中标通知但尚未签订合同的项目</w:t>
      </w:r>
      <w:r>
        <w:rPr>
          <w:color w:val="0000FF"/>
          <w:sz w:val="24"/>
          <w:szCs w:val="24"/>
        </w:rPr>
        <w:t>（提供相关合同的复印件）</w:t>
      </w:r>
    </w:p>
    <w:p w14:paraId="40FD0879">
      <w:pPr>
        <w:widowControl/>
        <w:spacing w:line="360" w:lineRule="auto"/>
        <w:jc w:val="center"/>
        <w:rPr>
          <w:color w:val="000000"/>
          <w:sz w:val="24"/>
          <w:szCs w:val="24"/>
        </w:rPr>
      </w:pPr>
    </w:p>
    <w:tbl>
      <w:tblPr>
        <w:tblStyle w:val="14"/>
        <w:tblW w:w="4998" w:type="pct"/>
        <w:tblInd w:w="0" w:type="dxa"/>
        <w:tblLayout w:type="autofit"/>
        <w:tblCellMar>
          <w:top w:w="0" w:type="dxa"/>
          <w:left w:w="0" w:type="dxa"/>
          <w:bottom w:w="0" w:type="dxa"/>
          <w:right w:w="0" w:type="dxa"/>
        </w:tblCellMar>
      </w:tblPr>
      <w:tblGrid>
        <w:gridCol w:w="845"/>
        <w:gridCol w:w="1674"/>
        <w:gridCol w:w="1441"/>
        <w:gridCol w:w="2133"/>
        <w:gridCol w:w="1251"/>
        <w:gridCol w:w="1877"/>
      </w:tblGrid>
      <w:tr w14:paraId="32BC0B7C">
        <w:tblPrEx>
          <w:tblCellMar>
            <w:top w:w="0" w:type="dxa"/>
            <w:left w:w="0" w:type="dxa"/>
            <w:bottom w:w="0" w:type="dxa"/>
            <w:right w:w="0" w:type="dxa"/>
          </w:tblCellMar>
        </w:tblPrEx>
        <w:trPr>
          <w:trHeight w:val="1082" w:hRule="atLeast"/>
        </w:trPr>
        <w:tc>
          <w:tcPr>
            <w:tcW w:w="458" w:type="pct"/>
            <w:tcBorders>
              <w:top w:val="single" w:color="000000" w:sz="4" w:space="0"/>
              <w:left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77ED05A4">
            <w:pPr>
              <w:widowControl/>
              <w:jc w:val="center"/>
              <w:rPr>
                <w:color w:val="000000"/>
                <w:sz w:val="24"/>
                <w:szCs w:val="24"/>
              </w:rPr>
            </w:pPr>
            <w:r>
              <w:rPr>
                <w:color w:val="000000"/>
                <w:sz w:val="24"/>
                <w:szCs w:val="24"/>
              </w:rPr>
              <w:t>序号</w:t>
            </w:r>
          </w:p>
        </w:tc>
        <w:tc>
          <w:tcPr>
            <w:tcW w:w="907" w:type="pct"/>
            <w:tcBorders>
              <w:top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3817DB89">
            <w:pPr>
              <w:widowControl/>
              <w:jc w:val="center"/>
              <w:rPr>
                <w:color w:val="000000"/>
                <w:sz w:val="24"/>
                <w:szCs w:val="24"/>
              </w:rPr>
            </w:pPr>
            <w:r>
              <w:rPr>
                <w:color w:val="000000"/>
                <w:sz w:val="24"/>
                <w:szCs w:val="24"/>
              </w:rPr>
              <w:t>项目名称</w:t>
            </w:r>
          </w:p>
        </w:tc>
        <w:tc>
          <w:tcPr>
            <w:tcW w:w="781" w:type="pct"/>
            <w:tcBorders>
              <w:top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55745E97">
            <w:pPr>
              <w:widowControl/>
              <w:jc w:val="center"/>
              <w:rPr>
                <w:color w:val="000000"/>
                <w:sz w:val="24"/>
                <w:szCs w:val="24"/>
              </w:rPr>
            </w:pPr>
            <w:r>
              <w:rPr>
                <w:color w:val="000000"/>
                <w:sz w:val="24"/>
                <w:szCs w:val="24"/>
              </w:rPr>
              <w:t>签约</w:t>
            </w:r>
          </w:p>
          <w:p w14:paraId="6AA04E69">
            <w:pPr>
              <w:widowControl/>
              <w:jc w:val="center"/>
              <w:rPr>
                <w:color w:val="000000"/>
                <w:sz w:val="24"/>
                <w:szCs w:val="24"/>
              </w:rPr>
            </w:pPr>
            <w:r>
              <w:rPr>
                <w:color w:val="000000"/>
                <w:sz w:val="24"/>
                <w:szCs w:val="24"/>
              </w:rPr>
              <w:t>日期</w:t>
            </w:r>
          </w:p>
        </w:tc>
        <w:tc>
          <w:tcPr>
            <w:tcW w:w="1156" w:type="pct"/>
            <w:tcBorders>
              <w:top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2D0F29E5">
            <w:pPr>
              <w:widowControl/>
              <w:jc w:val="center"/>
              <w:rPr>
                <w:color w:val="000000"/>
                <w:sz w:val="24"/>
                <w:szCs w:val="24"/>
              </w:rPr>
            </w:pPr>
            <w:r>
              <w:rPr>
                <w:color w:val="000000"/>
                <w:sz w:val="24"/>
                <w:szCs w:val="24"/>
              </w:rPr>
              <w:t>同类或相似项目合同价</w:t>
            </w:r>
          </w:p>
        </w:tc>
        <w:tc>
          <w:tcPr>
            <w:tcW w:w="678" w:type="pct"/>
            <w:tcBorders>
              <w:top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0F0C41D1">
            <w:pPr>
              <w:widowControl/>
              <w:jc w:val="center"/>
              <w:rPr>
                <w:color w:val="000000"/>
                <w:sz w:val="24"/>
                <w:szCs w:val="24"/>
              </w:rPr>
            </w:pPr>
            <w:r>
              <w:rPr>
                <w:color w:val="000000"/>
                <w:sz w:val="24"/>
                <w:szCs w:val="24"/>
              </w:rPr>
              <w:t>业主 名称</w:t>
            </w:r>
          </w:p>
        </w:tc>
        <w:tc>
          <w:tcPr>
            <w:tcW w:w="1017" w:type="pct"/>
            <w:tcBorders>
              <w:top w:val="single" w:color="000000" w:sz="4" w:space="0"/>
              <w:bottom w:val="single" w:color="000000" w:sz="4" w:space="0"/>
              <w:right w:val="single" w:color="000000" w:sz="4" w:space="0"/>
            </w:tcBorders>
            <w:noWrap w:val="0"/>
            <w:tcMar>
              <w:top w:w="20" w:type="dxa"/>
              <w:left w:w="20" w:type="dxa"/>
              <w:bottom w:w="0" w:type="dxa"/>
              <w:right w:w="20" w:type="dxa"/>
            </w:tcMar>
            <w:vAlign w:val="center"/>
          </w:tcPr>
          <w:p w14:paraId="6A91C48C">
            <w:pPr>
              <w:widowControl/>
              <w:jc w:val="center"/>
              <w:rPr>
                <w:color w:val="000000"/>
                <w:sz w:val="24"/>
                <w:szCs w:val="24"/>
              </w:rPr>
            </w:pPr>
            <w:r>
              <w:rPr>
                <w:color w:val="000000"/>
                <w:sz w:val="24"/>
                <w:szCs w:val="24"/>
              </w:rPr>
              <w:t>地址/电话/传真</w:t>
            </w:r>
          </w:p>
        </w:tc>
      </w:tr>
      <w:tr w14:paraId="377DC2EB">
        <w:tblPrEx>
          <w:tblCellMar>
            <w:top w:w="0" w:type="dxa"/>
            <w:left w:w="0" w:type="dxa"/>
            <w:bottom w:w="0" w:type="dxa"/>
            <w:right w:w="0" w:type="dxa"/>
          </w:tblCellMar>
        </w:tblPrEx>
        <w:trPr>
          <w:trHeight w:val="643" w:hRule="atLeast"/>
        </w:trPr>
        <w:tc>
          <w:tcPr>
            <w:tcW w:w="458" w:type="pct"/>
            <w:tcBorders>
              <w:left w:val="single" w:color="000000" w:sz="4" w:space="0"/>
              <w:bottom w:val="single" w:color="000000" w:sz="4" w:space="0"/>
              <w:right w:val="single" w:color="000000" w:sz="4" w:space="0"/>
            </w:tcBorders>
            <w:noWrap w:val="0"/>
            <w:tcMar>
              <w:top w:w="20" w:type="dxa"/>
              <w:left w:w="20" w:type="dxa"/>
              <w:bottom w:w="0" w:type="dxa"/>
              <w:right w:w="20" w:type="dxa"/>
            </w:tcMar>
            <w:vAlign w:val="bottom"/>
          </w:tcPr>
          <w:p w14:paraId="4D61C0F7">
            <w:pPr>
              <w:widowControl/>
              <w:jc w:val="center"/>
              <w:rPr>
                <w:color w:val="000000"/>
                <w:sz w:val="24"/>
                <w:szCs w:val="24"/>
              </w:rPr>
            </w:pPr>
            <w:r>
              <w:rPr>
                <w:color w:val="000000"/>
                <w:sz w:val="24"/>
                <w:szCs w:val="24"/>
              </w:rPr>
              <w:t>1</w:t>
            </w:r>
          </w:p>
        </w:tc>
        <w:tc>
          <w:tcPr>
            <w:tcW w:w="907" w:type="pct"/>
            <w:tcBorders>
              <w:bottom w:val="single" w:color="000000" w:sz="4" w:space="0"/>
              <w:right w:val="single" w:color="000000" w:sz="4" w:space="0"/>
            </w:tcBorders>
            <w:noWrap w:val="0"/>
            <w:tcMar>
              <w:top w:w="20" w:type="dxa"/>
              <w:left w:w="20" w:type="dxa"/>
              <w:bottom w:w="0" w:type="dxa"/>
              <w:right w:w="20" w:type="dxa"/>
            </w:tcMar>
            <w:vAlign w:val="bottom"/>
          </w:tcPr>
          <w:p w14:paraId="62DCEADF">
            <w:pPr>
              <w:widowControl/>
              <w:jc w:val="left"/>
              <w:rPr>
                <w:color w:val="000000"/>
                <w:sz w:val="24"/>
                <w:szCs w:val="24"/>
              </w:rPr>
            </w:pPr>
            <w:r>
              <w:rPr>
                <w:color w:val="000000"/>
                <w:sz w:val="24"/>
                <w:szCs w:val="24"/>
              </w:rPr>
              <w:t>　</w:t>
            </w:r>
          </w:p>
        </w:tc>
        <w:tc>
          <w:tcPr>
            <w:tcW w:w="781" w:type="pct"/>
            <w:tcBorders>
              <w:bottom w:val="single" w:color="000000" w:sz="4" w:space="0"/>
              <w:right w:val="single" w:color="000000" w:sz="4" w:space="0"/>
            </w:tcBorders>
            <w:noWrap w:val="0"/>
            <w:tcMar>
              <w:top w:w="20" w:type="dxa"/>
              <w:left w:w="20" w:type="dxa"/>
              <w:bottom w:w="0" w:type="dxa"/>
              <w:right w:w="20" w:type="dxa"/>
            </w:tcMar>
            <w:vAlign w:val="bottom"/>
          </w:tcPr>
          <w:p w14:paraId="296BBA1F">
            <w:pPr>
              <w:widowControl/>
              <w:jc w:val="left"/>
              <w:rPr>
                <w:color w:val="000000"/>
                <w:sz w:val="24"/>
                <w:szCs w:val="24"/>
              </w:rPr>
            </w:pPr>
            <w:r>
              <w:rPr>
                <w:color w:val="000000"/>
                <w:sz w:val="24"/>
                <w:szCs w:val="24"/>
              </w:rPr>
              <w:t>　</w:t>
            </w:r>
          </w:p>
        </w:tc>
        <w:tc>
          <w:tcPr>
            <w:tcW w:w="1156" w:type="pct"/>
            <w:tcBorders>
              <w:bottom w:val="single" w:color="000000" w:sz="4" w:space="0"/>
              <w:right w:val="single" w:color="000000" w:sz="4" w:space="0"/>
            </w:tcBorders>
            <w:noWrap w:val="0"/>
            <w:tcMar>
              <w:top w:w="20" w:type="dxa"/>
              <w:left w:w="20" w:type="dxa"/>
              <w:bottom w:w="0" w:type="dxa"/>
              <w:right w:w="20" w:type="dxa"/>
            </w:tcMar>
            <w:vAlign w:val="bottom"/>
          </w:tcPr>
          <w:p w14:paraId="064C1735">
            <w:pPr>
              <w:widowControl/>
              <w:jc w:val="left"/>
              <w:rPr>
                <w:color w:val="000000"/>
                <w:sz w:val="24"/>
                <w:szCs w:val="24"/>
              </w:rPr>
            </w:pPr>
            <w:r>
              <w:rPr>
                <w:color w:val="000000"/>
                <w:sz w:val="24"/>
                <w:szCs w:val="24"/>
              </w:rPr>
              <w:t>　</w:t>
            </w:r>
          </w:p>
        </w:tc>
        <w:tc>
          <w:tcPr>
            <w:tcW w:w="678" w:type="pct"/>
            <w:tcBorders>
              <w:bottom w:val="single" w:color="000000" w:sz="4" w:space="0"/>
              <w:right w:val="single" w:color="000000" w:sz="4" w:space="0"/>
            </w:tcBorders>
            <w:noWrap w:val="0"/>
            <w:tcMar>
              <w:top w:w="20" w:type="dxa"/>
              <w:left w:w="20" w:type="dxa"/>
              <w:bottom w:w="0" w:type="dxa"/>
              <w:right w:w="20" w:type="dxa"/>
            </w:tcMar>
            <w:vAlign w:val="bottom"/>
          </w:tcPr>
          <w:p w14:paraId="08AA713B">
            <w:pPr>
              <w:widowControl/>
              <w:jc w:val="left"/>
              <w:rPr>
                <w:color w:val="000000"/>
                <w:sz w:val="24"/>
                <w:szCs w:val="24"/>
              </w:rPr>
            </w:pPr>
            <w:r>
              <w:rPr>
                <w:color w:val="000000"/>
                <w:sz w:val="24"/>
                <w:szCs w:val="24"/>
              </w:rPr>
              <w:t>　</w:t>
            </w:r>
          </w:p>
        </w:tc>
        <w:tc>
          <w:tcPr>
            <w:tcW w:w="1017" w:type="pct"/>
            <w:tcBorders>
              <w:bottom w:val="single" w:color="000000" w:sz="4" w:space="0"/>
              <w:right w:val="single" w:color="000000" w:sz="4" w:space="0"/>
            </w:tcBorders>
            <w:noWrap w:val="0"/>
            <w:tcMar>
              <w:top w:w="20" w:type="dxa"/>
              <w:left w:w="20" w:type="dxa"/>
              <w:bottom w:w="0" w:type="dxa"/>
              <w:right w:w="20" w:type="dxa"/>
            </w:tcMar>
            <w:vAlign w:val="bottom"/>
          </w:tcPr>
          <w:p w14:paraId="5FACC6EB">
            <w:pPr>
              <w:widowControl/>
              <w:jc w:val="left"/>
              <w:rPr>
                <w:color w:val="000000"/>
                <w:sz w:val="24"/>
                <w:szCs w:val="24"/>
              </w:rPr>
            </w:pPr>
            <w:r>
              <w:rPr>
                <w:color w:val="000000"/>
                <w:sz w:val="24"/>
                <w:szCs w:val="24"/>
              </w:rPr>
              <w:t>　</w:t>
            </w:r>
          </w:p>
        </w:tc>
      </w:tr>
      <w:tr w14:paraId="21519BB0">
        <w:tblPrEx>
          <w:tblCellMar>
            <w:top w:w="0" w:type="dxa"/>
            <w:left w:w="0" w:type="dxa"/>
            <w:bottom w:w="0" w:type="dxa"/>
            <w:right w:w="0" w:type="dxa"/>
          </w:tblCellMar>
        </w:tblPrEx>
        <w:trPr>
          <w:trHeight w:val="643" w:hRule="atLeast"/>
        </w:trPr>
        <w:tc>
          <w:tcPr>
            <w:tcW w:w="458" w:type="pct"/>
            <w:tcBorders>
              <w:left w:val="single" w:color="000000" w:sz="4" w:space="0"/>
              <w:bottom w:val="single" w:color="000000" w:sz="4" w:space="0"/>
              <w:right w:val="single" w:color="000000" w:sz="4" w:space="0"/>
            </w:tcBorders>
            <w:noWrap w:val="0"/>
            <w:tcMar>
              <w:top w:w="20" w:type="dxa"/>
              <w:left w:w="20" w:type="dxa"/>
              <w:bottom w:w="0" w:type="dxa"/>
              <w:right w:w="20" w:type="dxa"/>
            </w:tcMar>
            <w:vAlign w:val="bottom"/>
          </w:tcPr>
          <w:p w14:paraId="47D8812B">
            <w:pPr>
              <w:widowControl/>
              <w:jc w:val="center"/>
              <w:rPr>
                <w:color w:val="000000"/>
                <w:sz w:val="24"/>
                <w:szCs w:val="24"/>
              </w:rPr>
            </w:pPr>
            <w:r>
              <w:rPr>
                <w:color w:val="000000"/>
                <w:sz w:val="24"/>
                <w:szCs w:val="24"/>
              </w:rPr>
              <w:t>2</w:t>
            </w:r>
          </w:p>
        </w:tc>
        <w:tc>
          <w:tcPr>
            <w:tcW w:w="907" w:type="pct"/>
            <w:tcBorders>
              <w:bottom w:val="single" w:color="000000" w:sz="4" w:space="0"/>
              <w:right w:val="single" w:color="000000" w:sz="4" w:space="0"/>
            </w:tcBorders>
            <w:noWrap w:val="0"/>
            <w:tcMar>
              <w:top w:w="20" w:type="dxa"/>
              <w:left w:w="20" w:type="dxa"/>
              <w:bottom w:w="0" w:type="dxa"/>
              <w:right w:w="20" w:type="dxa"/>
            </w:tcMar>
            <w:vAlign w:val="bottom"/>
          </w:tcPr>
          <w:p w14:paraId="47C7B71A">
            <w:pPr>
              <w:widowControl/>
              <w:jc w:val="left"/>
              <w:rPr>
                <w:color w:val="000000"/>
                <w:sz w:val="24"/>
                <w:szCs w:val="24"/>
              </w:rPr>
            </w:pPr>
            <w:r>
              <w:rPr>
                <w:color w:val="000000"/>
                <w:sz w:val="24"/>
                <w:szCs w:val="24"/>
              </w:rPr>
              <w:t>　</w:t>
            </w:r>
          </w:p>
        </w:tc>
        <w:tc>
          <w:tcPr>
            <w:tcW w:w="781" w:type="pct"/>
            <w:tcBorders>
              <w:bottom w:val="single" w:color="000000" w:sz="4" w:space="0"/>
              <w:right w:val="single" w:color="000000" w:sz="4" w:space="0"/>
            </w:tcBorders>
            <w:noWrap w:val="0"/>
            <w:tcMar>
              <w:top w:w="20" w:type="dxa"/>
              <w:left w:w="20" w:type="dxa"/>
              <w:bottom w:w="0" w:type="dxa"/>
              <w:right w:w="20" w:type="dxa"/>
            </w:tcMar>
            <w:vAlign w:val="bottom"/>
          </w:tcPr>
          <w:p w14:paraId="73B7CFD9">
            <w:pPr>
              <w:widowControl/>
              <w:jc w:val="left"/>
              <w:rPr>
                <w:color w:val="000000"/>
                <w:sz w:val="24"/>
                <w:szCs w:val="24"/>
              </w:rPr>
            </w:pPr>
            <w:r>
              <w:rPr>
                <w:color w:val="000000"/>
                <w:sz w:val="24"/>
                <w:szCs w:val="24"/>
              </w:rPr>
              <w:t>　</w:t>
            </w:r>
          </w:p>
        </w:tc>
        <w:tc>
          <w:tcPr>
            <w:tcW w:w="1156" w:type="pct"/>
            <w:tcBorders>
              <w:bottom w:val="single" w:color="000000" w:sz="4" w:space="0"/>
              <w:right w:val="single" w:color="000000" w:sz="4" w:space="0"/>
            </w:tcBorders>
            <w:noWrap w:val="0"/>
            <w:tcMar>
              <w:top w:w="20" w:type="dxa"/>
              <w:left w:w="20" w:type="dxa"/>
              <w:bottom w:w="0" w:type="dxa"/>
              <w:right w:w="20" w:type="dxa"/>
            </w:tcMar>
            <w:vAlign w:val="bottom"/>
          </w:tcPr>
          <w:p w14:paraId="23917074">
            <w:pPr>
              <w:widowControl/>
              <w:jc w:val="left"/>
              <w:rPr>
                <w:color w:val="000000"/>
                <w:sz w:val="24"/>
                <w:szCs w:val="24"/>
              </w:rPr>
            </w:pPr>
            <w:r>
              <w:rPr>
                <w:color w:val="000000"/>
                <w:sz w:val="24"/>
                <w:szCs w:val="24"/>
              </w:rPr>
              <w:t>　</w:t>
            </w:r>
          </w:p>
        </w:tc>
        <w:tc>
          <w:tcPr>
            <w:tcW w:w="678" w:type="pct"/>
            <w:tcBorders>
              <w:bottom w:val="single" w:color="000000" w:sz="4" w:space="0"/>
              <w:right w:val="single" w:color="000000" w:sz="4" w:space="0"/>
            </w:tcBorders>
            <w:noWrap w:val="0"/>
            <w:tcMar>
              <w:top w:w="20" w:type="dxa"/>
              <w:left w:w="20" w:type="dxa"/>
              <w:bottom w:w="0" w:type="dxa"/>
              <w:right w:w="20" w:type="dxa"/>
            </w:tcMar>
            <w:vAlign w:val="bottom"/>
          </w:tcPr>
          <w:p w14:paraId="5766F287">
            <w:pPr>
              <w:widowControl/>
              <w:jc w:val="left"/>
              <w:rPr>
                <w:color w:val="000000"/>
                <w:sz w:val="24"/>
                <w:szCs w:val="24"/>
              </w:rPr>
            </w:pPr>
            <w:r>
              <w:rPr>
                <w:color w:val="000000"/>
                <w:sz w:val="24"/>
                <w:szCs w:val="24"/>
              </w:rPr>
              <w:t>　</w:t>
            </w:r>
          </w:p>
        </w:tc>
        <w:tc>
          <w:tcPr>
            <w:tcW w:w="1017" w:type="pct"/>
            <w:tcBorders>
              <w:bottom w:val="single" w:color="000000" w:sz="4" w:space="0"/>
              <w:right w:val="single" w:color="000000" w:sz="4" w:space="0"/>
            </w:tcBorders>
            <w:noWrap w:val="0"/>
            <w:tcMar>
              <w:top w:w="20" w:type="dxa"/>
              <w:left w:w="20" w:type="dxa"/>
              <w:bottom w:w="0" w:type="dxa"/>
              <w:right w:w="20" w:type="dxa"/>
            </w:tcMar>
            <w:vAlign w:val="bottom"/>
          </w:tcPr>
          <w:p w14:paraId="694711D6">
            <w:pPr>
              <w:widowControl/>
              <w:jc w:val="left"/>
              <w:rPr>
                <w:color w:val="000000"/>
                <w:sz w:val="24"/>
                <w:szCs w:val="24"/>
              </w:rPr>
            </w:pPr>
            <w:r>
              <w:rPr>
                <w:color w:val="000000"/>
                <w:sz w:val="24"/>
                <w:szCs w:val="24"/>
              </w:rPr>
              <w:t>　</w:t>
            </w:r>
          </w:p>
        </w:tc>
      </w:tr>
      <w:tr w14:paraId="14AF9017">
        <w:tblPrEx>
          <w:tblCellMar>
            <w:top w:w="0" w:type="dxa"/>
            <w:left w:w="0" w:type="dxa"/>
            <w:bottom w:w="0" w:type="dxa"/>
            <w:right w:w="0" w:type="dxa"/>
          </w:tblCellMar>
        </w:tblPrEx>
        <w:trPr>
          <w:trHeight w:val="643" w:hRule="atLeast"/>
        </w:trPr>
        <w:tc>
          <w:tcPr>
            <w:tcW w:w="458" w:type="pct"/>
            <w:tcBorders>
              <w:left w:val="single" w:color="000000" w:sz="4" w:space="0"/>
              <w:bottom w:val="single" w:color="000000" w:sz="4" w:space="0"/>
              <w:right w:val="single" w:color="000000" w:sz="4" w:space="0"/>
            </w:tcBorders>
            <w:noWrap w:val="0"/>
            <w:tcMar>
              <w:top w:w="20" w:type="dxa"/>
              <w:left w:w="20" w:type="dxa"/>
              <w:bottom w:w="0" w:type="dxa"/>
              <w:right w:w="20" w:type="dxa"/>
            </w:tcMar>
            <w:vAlign w:val="bottom"/>
          </w:tcPr>
          <w:p w14:paraId="640DF31F">
            <w:pPr>
              <w:widowControl/>
              <w:jc w:val="center"/>
              <w:rPr>
                <w:color w:val="000000"/>
                <w:sz w:val="24"/>
                <w:szCs w:val="24"/>
              </w:rPr>
            </w:pPr>
            <w:r>
              <w:rPr>
                <w:color w:val="000000"/>
                <w:sz w:val="24"/>
                <w:szCs w:val="24"/>
              </w:rPr>
              <w:t>3</w:t>
            </w:r>
          </w:p>
        </w:tc>
        <w:tc>
          <w:tcPr>
            <w:tcW w:w="907" w:type="pct"/>
            <w:tcBorders>
              <w:bottom w:val="single" w:color="000000" w:sz="4" w:space="0"/>
              <w:right w:val="single" w:color="000000" w:sz="4" w:space="0"/>
            </w:tcBorders>
            <w:noWrap w:val="0"/>
            <w:tcMar>
              <w:top w:w="20" w:type="dxa"/>
              <w:left w:w="20" w:type="dxa"/>
              <w:bottom w:w="0" w:type="dxa"/>
              <w:right w:w="20" w:type="dxa"/>
            </w:tcMar>
            <w:vAlign w:val="bottom"/>
          </w:tcPr>
          <w:p w14:paraId="3C6E9D02">
            <w:pPr>
              <w:widowControl/>
              <w:jc w:val="left"/>
              <w:rPr>
                <w:color w:val="000000"/>
                <w:sz w:val="24"/>
                <w:szCs w:val="24"/>
              </w:rPr>
            </w:pPr>
            <w:r>
              <w:rPr>
                <w:color w:val="000000"/>
                <w:sz w:val="24"/>
                <w:szCs w:val="24"/>
              </w:rPr>
              <w:t>　</w:t>
            </w:r>
          </w:p>
        </w:tc>
        <w:tc>
          <w:tcPr>
            <w:tcW w:w="781" w:type="pct"/>
            <w:tcBorders>
              <w:bottom w:val="single" w:color="000000" w:sz="4" w:space="0"/>
              <w:right w:val="single" w:color="000000" w:sz="4" w:space="0"/>
            </w:tcBorders>
            <w:noWrap w:val="0"/>
            <w:tcMar>
              <w:top w:w="20" w:type="dxa"/>
              <w:left w:w="20" w:type="dxa"/>
              <w:bottom w:w="0" w:type="dxa"/>
              <w:right w:w="20" w:type="dxa"/>
            </w:tcMar>
            <w:vAlign w:val="bottom"/>
          </w:tcPr>
          <w:p w14:paraId="32FBE576">
            <w:pPr>
              <w:widowControl/>
              <w:jc w:val="left"/>
              <w:rPr>
                <w:color w:val="000000"/>
                <w:sz w:val="24"/>
                <w:szCs w:val="24"/>
              </w:rPr>
            </w:pPr>
            <w:r>
              <w:rPr>
                <w:color w:val="000000"/>
                <w:sz w:val="24"/>
                <w:szCs w:val="24"/>
              </w:rPr>
              <w:t>　</w:t>
            </w:r>
          </w:p>
        </w:tc>
        <w:tc>
          <w:tcPr>
            <w:tcW w:w="1156" w:type="pct"/>
            <w:tcBorders>
              <w:bottom w:val="single" w:color="000000" w:sz="4" w:space="0"/>
              <w:right w:val="single" w:color="000000" w:sz="4" w:space="0"/>
            </w:tcBorders>
            <w:noWrap w:val="0"/>
            <w:tcMar>
              <w:top w:w="20" w:type="dxa"/>
              <w:left w:w="20" w:type="dxa"/>
              <w:bottom w:w="0" w:type="dxa"/>
              <w:right w:w="20" w:type="dxa"/>
            </w:tcMar>
            <w:vAlign w:val="bottom"/>
          </w:tcPr>
          <w:p w14:paraId="051229AB">
            <w:pPr>
              <w:widowControl/>
              <w:jc w:val="left"/>
              <w:rPr>
                <w:color w:val="000000"/>
                <w:sz w:val="24"/>
                <w:szCs w:val="24"/>
              </w:rPr>
            </w:pPr>
            <w:r>
              <w:rPr>
                <w:color w:val="000000"/>
                <w:sz w:val="24"/>
                <w:szCs w:val="24"/>
              </w:rPr>
              <w:t>　</w:t>
            </w:r>
          </w:p>
        </w:tc>
        <w:tc>
          <w:tcPr>
            <w:tcW w:w="678" w:type="pct"/>
            <w:tcBorders>
              <w:bottom w:val="single" w:color="000000" w:sz="4" w:space="0"/>
              <w:right w:val="single" w:color="000000" w:sz="4" w:space="0"/>
            </w:tcBorders>
            <w:noWrap w:val="0"/>
            <w:tcMar>
              <w:top w:w="20" w:type="dxa"/>
              <w:left w:w="20" w:type="dxa"/>
              <w:bottom w:w="0" w:type="dxa"/>
              <w:right w:w="20" w:type="dxa"/>
            </w:tcMar>
            <w:vAlign w:val="bottom"/>
          </w:tcPr>
          <w:p w14:paraId="26D296E3">
            <w:pPr>
              <w:widowControl/>
              <w:jc w:val="left"/>
              <w:rPr>
                <w:color w:val="000000"/>
                <w:sz w:val="24"/>
                <w:szCs w:val="24"/>
              </w:rPr>
            </w:pPr>
            <w:r>
              <w:rPr>
                <w:color w:val="000000"/>
                <w:sz w:val="24"/>
                <w:szCs w:val="24"/>
              </w:rPr>
              <w:t>　</w:t>
            </w:r>
          </w:p>
        </w:tc>
        <w:tc>
          <w:tcPr>
            <w:tcW w:w="1017" w:type="pct"/>
            <w:tcBorders>
              <w:bottom w:val="single" w:color="000000" w:sz="4" w:space="0"/>
              <w:right w:val="single" w:color="000000" w:sz="4" w:space="0"/>
            </w:tcBorders>
            <w:noWrap w:val="0"/>
            <w:tcMar>
              <w:top w:w="20" w:type="dxa"/>
              <w:left w:w="20" w:type="dxa"/>
              <w:bottom w:w="0" w:type="dxa"/>
              <w:right w:w="20" w:type="dxa"/>
            </w:tcMar>
            <w:vAlign w:val="bottom"/>
          </w:tcPr>
          <w:p w14:paraId="6AD413A0">
            <w:pPr>
              <w:widowControl/>
              <w:jc w:val="left"/>
              <w:rPr>
                <w:color w:val="000000"/>
                <w:sz w:val="24"/>
                <w:szCs w:val="24"/>
              </w:rPr>
            </w:pPr>
            <w:r>
              <w:rPr>
                <w:color w:val="000000"/>
                <w:sz w:val="24"/>
                <w:szCs w:val="24"/>
              </w:rPr>
              <w:t>　</w:t>
            </w:r>
          </w:p>
        </w:tc>
      </w:tr>
      <w:tr w14:paraId="6210117E">
        <w:tblPrEx>
          <w:tblCellMar>
            <w:top w:w="0" w:type="dxa"/>
            <w:left w:w="0" w:type="dxa"/>
            <w:bottom w:w="0" w:type="dxa"/>
            <w:right w:w="0" w:type="dxa"/>
          </w:tblCellMar>
        </w:tblPrEx>
        <w:trPr>
          <w:trHeight w:val="643" w:hRule="atLeast"/>
        </w:trPr>
        <w:tc>
          <w:tcPr>
            <w:tcW w:w="458" w:type="pct"/>
            <w:tcBorders>
              <w:left w:val="single" w:color="000000" w:sz="4" w:space="0"/>
              <w:bottom w:val="single" w:color="000000" w:sz="4" w:space="0"/>
              <w:right w:val="single" w:color="000000" w:sz="4" w:space="0"/>
            </w:tcBorders>
            <w:noWrap w:val="0"/>
            <w:tcMar>
              <w:top w:w="20" w:type="dxa"/>
              <w:left w:w="20" w:type="dxa"/>
              <w:bottom w:w="0" w:type="dxa"/>
              <w:right w:w="20" w:type="dxa"/>
            </w:tcMar>
            <w:vAlign w:val="bottom"/>
          </w:tcPr>
          <w:p w14:paraId="4BCBD2D7">
            <w:pPr>
              <w:widowControl/>
              <w:jc w:val="left"/>
              <w:rPr>
                <w:color w:val="000000"/>
                <w:sz w:val="24"/>
                <w:szCs w:val="24"/>
              </w:rPr>
            </w:pPr>
            <w:r>
              <w:rPr>
                <w:color w:val="000000"/>
                <w:sz w:val="24"/>
                <w:szCs w:val="24"/>
              </w:rPr>
              <w:t>……</w:t>
            </w:r>
          </w:p>
        </w:tc>
        <w:tc>
          <w:tcPr>
            <w:tcW w:w="907" w:type="pct"/>
            <w:tcBorders>
              <w:bottom w:val="single" w:color="000000" w:sz="4" w:space="0"/>
              <w:right w:val="single" w:color="000000" w:sz="4" w:space="0"/>
            </w:tcBorders>
            <w:noWrap w:val="0"/>
            <w:tcMar>
              <w:top w:w="20" w:type="dxa"/>
              <w:left w:w="20" w:type="dxa"/>
              <w:bottom w:w="0" w:type="dxa"/>
              <w:right w:w="20" w:type="dxa"/>
            </w:tcMar>
            <w:vAlign w:val="bottom"/>
          </w:tcPr>
          <w:p w14:paraId="2E9EC704">
            <w:pPr>
              <w:widowControl/>
              <w:jc w:val="left"/>
              <w:rPr>
                <w:color w:val="000000"/>
                <w:sz w:val="24"/>
                <w:szCs w:val="24"/>
              </w:rPr>
            </w:pPr>
            <w:r>
              <w:rPr>
                <w:color w:val="000000"/>
                <w:sz w:val="24"/>
                <w:szCs w:val="24"/>
              </w:rPr>
              <w:t>　</w:t>
            </w:r>
          </w:p>
        </w:tc>
        <w:tc>
          <w:tcPr>
            <w:tcW w:w="781" w:type="pct"/>
            <w:tcBorders>
              <w:bottom w:val="single" w:color="000000" w:sz="4" w:space="0"/>
              <w:right w:val="single" w:color="000000" w:sz="4" w:space="0"/>
            </w:tcBorders>
            <w:noWrap w:val="0"/>
            <w:tcMar>
              <w:top w:w="20" w:type="dxa"/>
              <w:left w:w="20" w:type="dxa"/>
              <w:bottom w:w="0" w:type="dxa"/>
              <w:right w:w="20" w:type="dxa"/>
            </w:tcMar>
            <w:vAlign w:val="bottom"/>
          </w:tcPr>
          <w:p w14:paraId="4426F20D">
            <w:pPr>
              <w:widowControl/>
              <w:jc w:val="left"/>
              <w:rPr>
                <w:color w:val="000000"/>
                <w:sz w:val="24"/>
                <w:szCs w:val="24"/>
              </w:rPr>
            </w:pPr>
            <w:r>
              <w:rPr>
                <w:color w:val="000000"/>
                <w:sz w:val="24"/>
                <w:szCs w:val="24"/>
              </w:rPr>
              <w:t>　</w:t>
            </w:r>
          </w:p>
        </w:tc>
        <w:tc>
          <w:tcPr>
            <w:tcW w:w="1156" w:type="pct"/>
            <w:tcBorders>
              <w:bottom w:val="single" w:color="000000" w:sz="4" w:space="0"/>
              <w:right w:val="single" w:color="000000" w:sz="4" w:space="0"/>
            </w:tcBorders>
            <w:noWrap w:val="0"/>
            <w:tcMar>
              <w:top w:w="20" w:type="dxa"/>
              <w:left w:w="20" w:type="dxa"/>
              <w:bottom w:w="0" w:type="dxa"/>
              <w:right w:w="20" w:type="dxa"/>
            </w:tcMar>
            <w:vAlign w:val="bottom"/>
          </w:tcPr>
          <w:p w14:paraId="6743E012">
            <w:pPr>
              <w:widowControl/>
              <w:jc w:val="left"/>
              <w:rPr>
                <w:color w:val="000000"/>
                <w:sz w:val="24"/>
                <w:szCs w:val="24"/>
              </w:rPr>
            </w:pPr>
            <w:r>
              <w:rPr>
                <w:color w:val="000000"/>
                <w:sz w:val="24"/>
                <w:szCs w:val="24"/>
              </w:rPr>
              <w:t>　</w:t>
            </w:r>
          </w:p>
        </w:tc>
        <w:tc>
          <w:tcPr>
            <w:tcW w:w="678" w:type="pct"/>
            <w:tcBorders>
              <w:bottom w:val="single" w:color="000000" w:sz="4" w:space="0"/>
              <w:right w:val="single" w:color="000000" w:sz="4" w:space="0"/>
            </w:tcBorders>
            <w:noWrap w:val="0"/>
            <w:tcMar>
              <w:top w:w="20" w:type="dxa"/>
              <w:left w:w="20" w:type="dxa"/>
              <w:bottom w:w="0" w:type="dxa"/>
              <w:right w:w="20" w:type="dxa"/>
            </w:tcMar>
            <w:vAlign w:val="bottom"/>
          </w:tcPr>
          <w:p w14:paraId="647FE434">
            <w:pPr>
              <w:widowControl/>
              <w:jc w:val="left"/>
              <w:rPr>
                <w:color w:val="000000"/>
                <w:sz w:val="24"/>
                <w:szCs w:val="24"/>
              </w:rPr>
            </w:pPr>
            <w:r>
              <w:rPr>
                <w:color w:val="000000"/>
                <w:sz w:val="24"/>
                <w:szCs w:val="24"/>
              </w:rPr>
              <w:t>　</w:t>
            </w:r>
          </w:p>
        </w:tc>
        <w:tc>
          <w:tcPr>
            <w:tcW w:w="1017" w:type="pct"/>
            <w:tcBorders>
              <w:bottom w:val="single" w:color="000000" w:sz="4" w:space="0"/>
              <w:right w:val="single" w:color="000000" w:sz="4" w:space="0"/>
            </w:tcBorders>
            <w:noWrap w:val="0"/>
            <w:tcMar>
              <w:top w:w="20" w:type="dxa"/>
              <w:left w:w="20" w:type="dxa"/>
              <w:bottom w:w="0" w:type="dxa"/>
              <w:right w:w="20" w:type="dxa"/>
            </w:tcMar>
            <w:vAlign w:val="bottom"/>
          </w:tcPr>
          <w:p w14:paraId="19DFD7E9">
            <w:pPr>
              <w:widowControl/>
              <w:jc w:val="left"/>
              <w:rPr>
                <w:color w:val="000000"/>
                <w:sz w:val="24"/>
                <w:szCs w:val="24"/>
              </w:rPr>
            </w:pPr>
            <w:r>
              <w:rPr>
                <w:color w:val="000000"/>
                <w:sz w:val="24"/>
                <w:szCs w:val="24"/>
              </w:rPr>
              <w:t>　</w:t>
            </w:r>
          </w:p>
        </w:tc>
      </w:tr>
    </w:tbl>
    <w:p w14:paraId="60C01244">
      <w:pPr>
        <w:widowControl/>
        <w:spacing w:line="400" w:lineRule="exact"/>
        <w:jc w:val="left"/>
        <w:rPr>
          <w:color w:val="000000"/>
          <w:sz w:val="24"/>
          <w:szCs w:val="24"/>
        </w:rPr>
      </w:pPr>
    </w:p>
    <w:p w14:paraId="278FC327">
      <w:pPr>
        <w:widowControl/>
        <w:spacing w:line="400" w:lineRule="exact"/>
        <w:jc w:val="left"/>
        <w:rPr>
          <w:color w:val="000000"/>
          <w:sz w:val="24"/>
          <w:szCs w:val="24"/>
        </w:rPr>
      </w:pPr>
    </w:p>
    <w:p w14:paraId="3417A7FA">
      <w:pPr>
        <w:widowControl/>
        <w:spacing w:line="500" w:lineRule="exact"/>
        <w:ind w:firstLine="4080"/>
        <w:jc w:val="left"/>
        <w:rPr>
          <w:color w:val="000000"/>
          <w:sz w:val="24"/>
          <w:szCs w:val="24"/>
          <w:u w:val="single"/>
        </w:rPr>
      </w:pPr>
      <w:r>
        <w:rPr>
          <w:color w:val="000000"/>
          <w:sz w:val="24"/>
          <w:szCs w:val="24"/>
        </w:rPr>
        <w:t>投标人代表（签字）：</w:t>
      </w:r>
      <w:r>
        <w:rPr>
          <w:color w:val="000000"/>
          <w:sz w:val="24"/>
          <w:szCs w:val="24"/>
          <w:u w:val="single"/>
        </w:rPr>
        <w:t xml:space="preserve">             </w:t>
      </w:r>
    </w:p>
    <w:p w14:paraId="4A325A71">
      <w:pPr>
        <w:widowControl/>
        <w:spacing w:line="500" w:lineRule="exact"/>
        <w:jc w:val="left"/>
        <w:rPr>
          <w:color w:val="000000"/>
          <w:sz w:val="24"/>
          <w:szCs w:val="24"/>
        </w:rPr>
      </w:pPr>
      <w:r>
        <w:rPr>
          <w:color w:val="000000"/>
          <w:sz w:val="24"/>
          <w:szCs w:val="24"/>
        </w:rPr>
        <w:t xml:space="preserve">                                           </w:t>
      </w:r>
      <w:r>
        <w:rPr>
          <w:color w:val="000000"/>
          <w:sz w:val="24"/>
          <w:szCs w:val="24"/>
        </w:rPr>
        <w:tab/>
      </w:r>
      <w:r>
        <w:rPr>
          <w:color w:val="000000"/>
          <w:sz w:val="24"/>
          <w:szCs w:val="24"/>
        </w:rPr>
        <w:t xml:space="preserve">日期：     </w:t>
      </w:r>
    </w:p>
    <w:p w14:paraId="4A57B6BA">
      <w:pPr>
        <w:rPr>
          <w:b/>
          <w:color w:val="000000"/>
          <w:sz w:val="24"/>
          <w:szCs w:val="24"/>
        </w:rPr>
      </w:pPr>
      <w:r>
        <w:rPr>
          <w:b/>
          <w:color w:val="000000"/>
          <w:sz w:val="24"/>
          <w:szCs w:val="24"/>
        </w:rPr>
        <w:br w:type="page"/>
      </w:r>
    </w:p>
    <w:p w14:paraId="6A521D3E">
      <w:pPr>
        <w:widowControl/>
        <w:spacing w:line="500" w:lineRule="exact"/>
        <w:jc w:val="left"/>
        <w:rPr>
          <w:rFonts w:hint="default" w:ascii="Times New Roman" w:hAnsi="Times New Roman" w:eastAsia="宋体" w:cs="Times New Roman"/>
          <w:b/>
          <w:color w:val="000000"/>
          <w:sz w:val="32"/>
        </w:rPr>
      </w:pPr>
      <w:r>
        <w:rPr>
          <w:rFonts w:hint="eastAsia" w:ascii="Times New Roman" w:hAnsi="Times New Roman" w:eastAsia="宋体" w:cs="Times New Roman"/>
          <w:color w:val="000000"/>
          <w:sz w:val="24"/>
          <w:szCs w:val="24"/>
          <w:lang w:val="en-US" w:eastAsia="zh-CN"/>
        </w:rPr>
        <w:t xml:space="preserve">附件8                 </w:t>
      </w:r>
      <w:r>
        <w:rPr>
          <w:rFonts w:hint="eastAsia" w:ascii="Times New Roman" w:hAnsi="Times New Roman" w:eastAsia="宋体" w:cs="Times New Roman"/>
          <w:b/>
          <w:bCs/>
          <w:color w:val="000000"/>
          <w:sz w:val="32"/>
          <w:szCs w:val="32"/>
          <w:lang w:val="en-US" w:eastAsia="zh-CN"/>
        </w:rPr>
        <w:t xml:space="preserve">      </w:t>
      </w:r>
      <w:r>
        <w:rPr>
          <w:rFonts w:hint="eastAsia" w:ascii="Times New Roman" w:hAnsi="Times New Roman" w:eastAsia="宋体" w:cs="Times New Roman"/>
          <w:b/>
          <w:color w:val="000000"/>
          <w:sz w:val="32"/>
          <w:lang w:val="en-US" w:eastAsia="zh-CN"/>
        </w:rPr>
        <w:t xml:space="preserve">    </w:t>
      </w:r>
      <w:r>
        <w:rPr>
          <w:rFonts w:hint="default" w:ascii="Times New Roman" w:hAnsi="Times New Roman" w:eastAsia="宋体" w:cs="Times New Roman"/>
          <w:b/>
          <w:color w:val="000000"/>
          <w:sz w:val="32"/>
        </w:rPr>
        <w:t>投标人承诺</w:t>
      </w:r>
    </w:p>
    <w:p w14:paraId="1BB19B2F">
      <w:pPr>
        <w:spacing w:line="272" w:lineRule="auto"/>
        <w:rPr>
          <w:rFonts w:hint="default" w:ascii="Times New Roman" w:hAnsi="Times New Roman" w:cs="Times New Roman"/>
        </w:rPr>
      </w:pPr>
    </w:p>
    <w:p w14:paraId="21620BFA">
      <w:pPr>
        <w:spacing w:before="75" w:line="228" w:lineRule="auto"/>
        <w:rPr>
          <w:rFonts w:hint="default" w:ascii="Times New Roman" w:hAnsi="Times New Roman" w:eastAsia="宋体" w:cs="Times New Roman"/>
          <w:sz w:val="24"/>
          <w:szCs w:val="24"/>
        </w:rPr>
      </w:pPr>
      <w:r>
        <w:rPr>
          <w:rFonts w:hint="default" w:ascii="Times New Roman" w:hAnsi="Times New Roman" w:eastAsia="宋体" w:cs="Times New Roman"/>
          <w:spacing w:val="-10"/>
          <w:sz w:val="24"/>
          <w:szCs w:val="24"/>
        </w:rPr>
        <w:t>项</w:t>
      </w:r>
      <w:r>
        <w:rPr>
          <w:rFonts w:hint="default" w:ascii="Times New Roman" w:hAnsi="Times New Roman" w:eastAsia="宋体" w:cs="Times New Roman"/>
          <w:spacing w:val="-9"/>
          <w:sz w:val="24"/>
          <w:szCs w:val="24"/>
        </w:rPr>
        <w:t>目</w:t>
      </w:r>
      <w:r>
        <w:rPr>
          <w:rFonts w:hint="default" w:ascii="Times New Roman" w:hAnsi="Times New Roman" w:eastAsia="宋体" w:cs="Times New Roman"/>
          <w:spacing w:val="-5"/>
          <w:sz w:val="24"/>
          <w:szCs w:val="24"/>
        </w:rPr>
        <w:t>名称：</w:t>
      </w:r>
      <w:r>
        <w:rPr>
          <w:rFonts w:hint="default" w:ascii="Times New Roman" w:hAnsi="Times New Roman" w:eastAsia="宋体" w:cs="Times New Roman"/>
          <w:spacing w:val="-5"/>
          <w:sz w:val="24"/>
          <w:szCs w:val="24"/>
          <w:u w:val="single"/>
        </w:rPr>
        <w:t xml:space="preserve"> </w:t>
      </w:r>
      <w:r>
        <w:rPr>
          <w:rFonts w:hint="eastAsia" w:ascii="Times New Roman" w:hAnsi="Times New Roman" w:eastAsia="宋体" w:cs="Times New Roman"/>
          <w:spacing w:val="-5"/>
          <w:sz w:val="24"/>
          <w:szCs w:val="24"/>
          <w:u w:val="single"/>
          <w:lang w:val="en-US" w:eastAsia="zh-CN"/>
        </w:rPr>
        <w:t xml:space="preserve">                                   </w:t>
      </w:r>
      <w:r>
        <w:rPr>
          <w:rFonts w:hint="default" w:ascii="Times New Roman" w:hAnsi="Times New Roman" w:eastAsia="宋体" w:cs="Times New Roman"/>
          <w:b w:val="0"/>
          <w:bCs w:val="0"/>
          <w:spacing w:val="-5"/>
          <w:sz w:val="24"/>
          <w:szCs w:val="24"/>
          <w:u w:val="single"/>
        </w:rPr>
        <w:t xml:space="preserve">  </w:t>
      </w:r>
    </w:p>
    <w:p w14:paraId="0A698CA0">
      <w:pPr>
        <w:spacing w:before="306" w:line="227" w:lineRule="auto"/>
        <w:rPr>
          <w:rFonts w:hint="default" w:ascii="Times New Roman" w:hAnsi="Times New Roman" w:eastAsia="宋体" w:cs="Times New Roman"/>
          <w:sz w:val="24"/>
          <w:szCs w:val="24"/>
        </w:rPr>
      </w:pPr>
      <w:r>
        <w:rPr>
          <w:rFonts w:hint="default" w:ascii="Times New Roman" w:hAnsi="Times New Roman" w:eastAsia="宋体" w:cs="Times New Roman"/>
          <w:spacing w:val="-4"/>
          <w:sz w:val="24"/>
          <w:szCs w:val="24"/>
        </w:rPr>
        <w:t xml:space="preserve">日期： </w:t>
      </w:r>
      <w:r>
        <w:rPr>
          <w:rFonts w:hint="default" w:ascii="Times New Roman" w:hAnsi="Times New Roman" w:eastAsia="宋体" w:cs="Times New Roman"/>
          <w:spacing w:val="-2"/>
          <w:sz w:val="24"/>
          <w:szCs w:val="24"/>
        </w:rPr>
        <w:t xml:space="preserve">   年   月   日</w:t>
      </w:r>
    </w:p>
    <w:p w14:paraId="5CA0E523">
      <w:pPr>
        <w:rPr>
          <w:rFonts w:hint="default" w:ascii="Times New Roman" w:hAnsi="Times New Roman" w:cs="Times New Roman"/>
        </w:rPr>
      </w:pPr>
    </w:p>
    <w:p w14:paraId="36F67B9E">
      <w:pPr>
        <w:spacing w:line="109" w:lineRule="exact"/>
        <w:rPr>
          <w:rFonts w:hint="default" w:ascii="Times New Roman" w:hAnsi="Times New Roman" w:cs="Times New Roman"/>
        </w:rPr>
      </w:pPr>
    </w:p>
    <w:tbl>
      <w:tblPr>
        <w:tblStyle w:val="24"/>
        <w:tblW w:w="9289"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89"/>
      </w:tblGrid>
      <w:tr w14:paraId="4867A8BD">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4186" w:hRule="atLeast"/>
        </w:trPr>
        <w:tc>
          <w:tcPr>
            <w:tcW w:w="9289" w:type="dxa"/>
          </w:tcPr>
          <w:p w14:paraId="7107A811">
            <w:pPr>
              <w:spacing w:before="52" w:line="227" w:lineRule="auto"/>
              <w:ind w:left="128"/>
              <w:rPr>
                <w:rFonts w:hint="default" w:ascii="Times New Roman" w:hAnsi="Times New Roman" w:eastAsia="宋体" w:cs="Times New Roman"/>
                <w:sz w:val="24"/>
                <w:szCs w:val="24"/>
              </w:rPr>
            </w:pPr>
            <w:r>
              <w:rPr>
                <w:rFonts w:hint="default" w:ascii="Times New Roman" w:hAnsi="Times New Roman" w:eastAsia="宋体" w:cs="Times New Roman"/>
                <w:spacing w:val="5"/>
                <w:sz w:val="24"/>
                <w:szCs w:val="24"/>
              </w:rPr>
              <w:t>投</w:t>
            </w:r>
            <w:r>
              <w:rPr>
                <w:rFonts w:hint="default" w:ascii="Times New Roman" w:hAnsi="Times New Roman" w:eastAsia="宋体" w:cs="Times New Roman"/>
                <w:spacing w:val="3"/>
                <w:sz w:val="24"/>
                <w:szCs w:val="24"/>
              </w:rPr>
              <w:t>标人承诺：</w:t>
            </w:r>
          </w:p>
          <w:p w14:paraId="1F7CF5EE">
            <w:pPr>
              <w:spacing w:before="48" w:line="391" w:lineRule="auto"/>
              <w:ind w:left="125" w:right="115" w:firstLine="491"/>
              <w:rPr>
                <w:rFonts w:hint="default" w:ascii="Times New Roman" w:hAnsi="Times New Roman" w:eastAsia="宋体" w:cs="Times New Roman"/>
                <w:sz w:val="23"/>
                <w:szCs w:val="23"/>
              </w:rPr>
            </w:pPr>
            <w:r>
              <w:rPr>
                <w:rFonts w:hint="default" w:ascii="Times New Roman" w:hAnsi="Times New Roman" w:eastAsia="宋体" w:cs="Times New Roman"/>
                <w:spacing w:val="38"/>
                <w:sz w:val="24"/>
                <w:szCs w:val="24"/>
              </w:rPr>
              <w:t>我</w:t>
            </w:r>
            <w:r>
              <w:rPr>
                <w:rFonts w:hint="default" w:ascii="Times New Roman" w:hAnsi="Times New Roman" w:eastAsia="宋体" w:cs="Times New Roman"/>
                <w:spacing w:val="21"/>
                <w:sz w:val="24"/>
                <w:szCs w:val="24"/>
              </w:rPr>
              <w:t>公司承诺遵守贵公司由于招标人公司政策变化引起的随时终止项目的要求并</w:t>
            </w:r>
            <w:r>
              <w:rPr>
                <w:rFonts w:hint="default" w:ascii="Times New Roman" w:hAnsi="Times New Roman" w:eastAsia="宋体" w:cs="Times New Roman"/>
                <w:spacing w:val="12"/>
                <w:sz w:val="24"/>
                <w:szCs w:val="24"/>
              </w:rPr>
              <w:t>承</w:t>
            </w:r>
            <w:r>
              <w:rPr>
                <w:rFonts w:hint="default" w:ascii="Times New Roman" w:hAnsi="Times New Roman" w:eastAsia="宋体" w:cs="Times New Roman"/>
                <w:spacing w:val="6"/>
                <w:sz w:val="24"/>
                <w:szCs w:val="24"/>
              </w:rPr>
              <w:t>担由此带来的一切损失</w:t>
            </w:r>
            <w:r>
              <w:rPr>
                <w:rFonts w:hint="default" w:ascii="Times New Roman" w:hAnsi="Times New Roman" w:eastAsia="宋体" w:cs="Times New Roman"/>
                <w:spacing w:val="6"/>
                <w:sz w:val="23"/>
                <w:szCs w:val="23"/>
              </w:rPr>
              <w:t>。</w:t>
            </w:r>
          </w:p>
        </w:tc>
      </w:tr>
    </w:tbl>
    <w:p w14:paraId="377BC33A">
      <w:pPr>
        <w:keepNext/>
        <w:keepLines/>
        <w:rPr>
          <w:rFonts w:hint="default" w:ascii="Times New Roman" w:hAnsi="Times New Roman" w:eastAsia="宋体" w:cs="Times New Roman"/>
          <w:b/>
          <w:bCs/>
          <w:color w:val="000000"/>
          <w:sz w:val="24"/>
          <w:szCs w:val="24"/>
        </w:rPr>
      </w:pPr>
    </w:p>
    <w:p w14:paraId="01ACC731">
      <w:pPr>
        <w:spacing w:before="75" w:line="227" w:lineRule="auto"/>
        <w:ind w:left="135"/>
        <w:rPr>
          <w:rFonts w:hint="default" w:ascii="Times New Roman" w:hAnsi="Times New Roman" w:eastAsia="宋体" w:cs="Times New Roman"/>
          <w:spacing w:val="-2"/>
          <w:sz w:val="24"/>
          <w:szCs w:val="24"/>
        </w:rPr>
      </w:pPr>
    </w:p>
    <w:p w14:paraId="657F7E16">
      <w:pPr>
        <w:spacing w:before="75" w:line="227" w:lineRule="auto"/>
        <w:ind w:left="135"/>
        <w:rPr>
          <w:rFonts w:hint="default" w:ascii="Times New Roman" w:hAnsi="Times New Roman" w:eastAsia="宋体" w:cs="Times New Roman"/>
          <w:spacing w:val="-2"/>
          <w:sz w:val="24"/>
          <w:szCs w:val="24"/>
        </w:rPr>
      </w:pPr>
    </w:p>
    <w:p w14:paraId="356BFED0">
      <w:pPr>
        <w:spacing w:before="75" w:line="227" w:lineRule="auto"/>
        <w:ind w:left="135"/>
        <w:rPr>
          <w:rFonts w:hint="default" w:ascii="Times New Roman" w:hAnsi="Times New Roman" w:eastAsia="宋体" w:cs="Times New Roman"/>
          <w:sz w:val="24"/>
          <w:szCs w:val="24"/>
        </w:rPr>
      </w:pPr>
      <w:r>
        <w:rPr>
          <w:rFonts w:hint="default" w:ascii="Times New Roman" w:hAnsi="Times New Roman" w:eastAsia="宋体" w:cs="Times New Roman"/>
          <w:spacing w:val="-2"/>
          <w:sz w:val="24"/>
          <w:szCs w:val="24"/>
        </w:rPr>
        <w:t>投标人名称 (盖章)：                法定代表人或授权代表(签字</w:t>
      </w:r>
      <w:r>
        <w:rPr>
          <w:rFonts w:hint="default" w:ascii="Times New Roman" w:hAnsi="Times New Roman" w:eastAsia="宋体" w:cs="Times New Roman"/>
          <w:sz w:val="24"/>
          <w:szCs w:val="24"/>
        </w:rPr>
        <w:t>)：</w:t>
      </w:r>
    </w:p>
    <w:p w14:paraId="77A40BAB">
      <w:pPr>
        <w:rPr>
          <w:rFonts w:hint="default" w:ascii="Times New Roman" w:hAnsi="Times New Roman" w:cs="Times New Roman"/>
        </w:rPr>
        <w:sectPr>
          <w:footerReference r:id="rId7" w:type="default"/>
          <w:pgSz w:w="11906" w:h="16839"/>
          <w:pgMar w:top="1431" w:right="1417" w:bottom="1179" w:left="1304" w:header="850" w:footer="992" w:gutter="0"/>
          <w:pgBorders>
            <w:top w:val="none" w:sz="0" w:space="0"/>
            <w:left w:val="none" w:sz="0" w:space="0"/>
            <w:bottom w:val="none" w:sz="0" w:space="0"/>
            <w:right w:val="none" w:sz="0" w:space="0"/>
          </w:pgBorders>
          <w:pgNumType w:fmt="decimal"/>
          <w:cols w:space="720" w:num="1"/>
        </w:sectPr>
      </w:pPr>
    </w:p>
    <w:p w14:paraId="0B13CA40">
      <w:pPr>
        <w:pStyle w:val="7"/>
        <w:outlineLvl w:val="2"/>
        <w:rPr>
          <w:rFonts w:hAnsi="宋体" w:eastAsia="宋体" w:cs="宋体"/>
          <w:b/>
          <w:bCs/>
          <w:color w:val="000000"/>
          <w:sz w:val="24"/>
          <w:szCs w:val="24"/>
        </w:rPr>
      </w:pPr>
      <w:r>
        <w:rPr>
          <w:rFonts w:hint="eastAsia" w:hAnsi="宋体" w:eastAsia="宋体" w:cs="宋体"/>
          <w:b/>
          <w:bCs/>
          <w:color w:val="000000"/>
          <w:sz w:val="24"/>
          <w:szCs w:val="24"/>
          <w:highlight w:val="none"/>
        </w:rPr>
        <w:t>附件</w:t>
      </w:r>
      <w:r>
        <w:rPr>
          <w:rFonts w:hint="eastAsia" w:hAnsi="宋体" w:cs="宋体"/>
          <w:b/>
          <w:bCs/>
          <w:color w:val="000000"/>
          <w:sz w:val="24"/>
          <w:szCs w:val="24"/>
          <w:highlight w:val="none"/>
          <w:lang w:val="en-US" w:eastAsia="zh-CN"/>
        </w:rPr>
        <w:t>一</w:t>
      </w:r>
      <w:r>
        <w:rPr>
          <w:rFonts w:hint="eastAsia" w:hAnsi="宋体" w:eastAsia="宋体" w:cs="宋体"/>
          <w:b/>
          <w:bCs/>
          <w:color w:val="000000"/>
          <w:sz w:val="24"/>
          <w:szCs w:val="24"/>
          <w:highlight w:val="none"/>
        </w:rPr>
        <w:t xml:space="preserve"> </w:t>
      </w:r>
      <w:r>
        <w:rPr>
          <w:rFonts w:hint="eastAsia" w:hAnsi="宋体" w:eastAsia="宋体" w:cs="宋体"/>
          <w:b/>
          <w:bCs/>
          <w:color w:val="000000"/>
          <w:sz w:val="24"/>
          <w:szCs w:val="24"/>
        </w:rPr>
        <w:t>SRM非生产供应商注册操作手册</w:t>
      </w:r>
    </w:p>
    <w:p w14:paraId="1F340AF8">
      <w:pPr>
        <w:adjustRightInd w:val="0"/>
        <w:snapToGrid w:val="0"/>
        <w:jc w:val="left"/>
        <w:rPr>
          <w:rFonts w:ascii="宋体" w:hAnsi="宋体" w:eastAsia="宋体" w:cs="宋体"/>
          <w:sz w:val="24"/>
          <w:szCs w:val="24"/>
        </w:rPr>
      </w:pPr>
    </w:p>
    <w:p w14:paraId="44286618">
      <w:pPr>
        <w:adjustRightInd w:val="0"/>
        <w:snapToGrid w:val="0"/>
        <w:spacing w:line="360" w:lineRule="auto"/>
        <w:jc w:val="left"/>
        <w:rPr>
          <w:rFonts w:ascii="宋体" w:hAnsi="宋体" w:eastAsia="宋体" w:cs="宋体"/>
          <w:sz w:val="24"/>
          <w:szCs w:val="24"/>
        </w:rPr>
      </w:pPr>
      <w:r>
        <w:rPr>
          <w:rFonts w:ascii="宋体" w:hAnsi="宋体" w:eastAsia="宋体" w:cs="宋体"/>
          <w:sz w:val="24"/>
          <w:szCs w:val="24"/>
        </w:rPr>
        <w:t>浏览器中输入地址;</w:t>
      </w:r>
    </w:p>
    <w:p w14:paraId="53F35A8F">
      <w:pPr>
        <w:adjustRightInd w:val="0"/>
        <w:snapToGrid w:val="0"/>
        <w:spacing w:line="360" w:lineRule="auto"/>
        <w:jc w:val="left"/>
        <w:rPr>
          <w:rFonts w:hint="eastAsia" w:ascii="宋体" w:hAnsi="宋体" w:cs="宋体"/>
          <w:b/>
          <w:bCs/>
          <w:sz w:val="24"/>
          <w:szCs w:val="24"/>
          <w:lang w:val="en-US" w:eastAsia="zh-CN"/>
        </w:rPr>
      </w:pPr>
      <w:r>
        <w:fldChar w:fldCharType="begin"/>
      </w:r>
      <w:r>
        <w:instrText xml:space="preserve"> HYPERLINK "http://ecaitong.sinotruk.com:8012/" \l "/login" \t "dlt" </w:instrText>
      </w:r>
      <w:r>
        <w:fldChar w:fldCharType="separate"/>
      </w:r>
      <w:r>
        <w:rPr>
          <w:rFonts w:ascii="宋体" w:hAnsi="宋体" w:eastAsia="宋体" w:cs="宋体"/>
          <w:sz w:val="24"/>
          <w:szCs w:val="24"/>
        </w:rPr>
        <w:t>http</w:t>
      </w:r>
      <w:r>
        <w:rPr>
          <w:rFonts w:hint="eastAsia" w:ascii="宋体" w:hAnsi="宋体" w:eastAsia="宋体" w:cs="宋体"/>
          <w:sz w:val="24"/>
          <w:szCs w:val="24"/>
          <w:lang w:val="en-US" w:eastAsia="zh-CN"/>
        </w:rPr>
        <w:t>s</w:t>
      </w:r>
      <w:r>
        <w:rPr>
          <w:rFonts w:ascii="宋体" w:hAnsi="宋体" w:eastAsia="宋体" w:cs="宋体"/>
          <w:sz w:val="24"/>
          <w:szCs w:val="24"/>
        </w:rPr>
        <w:t>://ecaitong.sinotruk.com:8012/#/login</w:t>
      </w:r>
      <w:r>
        <w:rPr>
          <w:rFonts w:ascii="宋体" w:hAnsi="宋体" w:eastAsia="宋体" w:cs="宋体"/>
          <w:sz w:val="24"/>
          <w:szCs w:val="24"/>
        </w:rPr>
        <w:fldChar w:fldCharType="end"/>
      </w:r>
      <w:r>
        <w:rPr>
          <w:rFonts w:ascii="宋体" w:hAnsi="宋体" w:eastAsia="宋体" w:cs="宋体"/>
          <w:sz w:val="24"/>
          <w:szCs w:val="24"/>
        </w:rPr>
        <w:br w:type="textWrapping"/>
      </w:r>
      <w:r>
        <w:rPr>
          <w:rFonts w:hint="eastAsia" w:ascii="宋体" w:hAnsi="宋体" w:eastAsia="宋体" w:cs="宋体"/>
          <w:sz w:val="24"/>
          <w:szCs w:val="24"/>
          <w:lang w:val="en-US" w:eastAsia="zh-CN"/>
        </w:rPr>
        <w:t>1.下载《供应商用户手册》</w:t>
      </w:r>
    </w:p>
    <w:p w14:paraId="5FE81A02">
      <w:pPr>
        <w:outlineLvl w:val="9"/>
        <w:rPr>
          <w:rFonts w:hint="default"/>
          <w:lang w:val="en-US" w:eastAsia="zh-CN"/>
        </w:rPr>
      </w:pPr>
      <w:r>
        <w:drawing>
          <wp:inline distT="0" distB="0" distL="114300" distR="114300">
            <wp:extent cx="5758815" cy="2764790"/>
            <wp:effectExtent l="0" t="0" r="13335"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7"/>
                    <a:stretch>
                      <a:fillRect/>
                    </a:stretch>
                  </pic:blipFill>
                  <pic:spPr>
                    <a:xfrm>
                      <a:off x="0" y="0"/>
                      <a:ext cx="5758815" cy="2764790"/>
                    </a:xfrm>
                    <a:prstGeom prst="rect">
                      <a:avLst/>
                    </a:prstGeom>
                    <a:noFill/>
                    <a:ln>
                      <a:noFill/>
                    </a:ln>
                  </pic:spPr>
                </pic:pic>
              </a:graphicData>
            </a:graphic>
          </wp:inline>
        </w:drawing>
      </w:r>
    </w:p>
    <w:p w14:paraId="6B66287E">
      <w:pPr>
        <w:keepNext w:val="0"/>
        <w:keepLines w:val="0"/>
        <w:pageBreakBefore w:val="0"/>
        <w:widowControl w:val="0"/>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ascii="宋体" w:hAnsi="宋体" w:eastAsia="宋体" w:cs="宋体"/>
          <w:b/>
          <w:bCs/>
          <w:sz w:val="24"/>
          <w:szCs w:val="24"/>
          <w:lang w:val="en-US" w:eastAsia="zh-CN"/>
        </w:rPr>
      </w:pPr>
      <w:r>
        <w:rPr>
          <w:rFonts w:hint="eastAsia" w:ascii="宋体" w:hAnsi="宋体" w:cs="宋体"/>
          <w:b/>
          <w:bCs/>
          <w:sz w:val="24"/>
          <w:szCs w:val="24"/>
          <w:lang w:val="en-US" w:eastAsia="zh-CN"/>
        </w:rPr>
        <w:t>一、首次注册</w:t>
      </w:r>
    </w:p>
    <w:p w14:paraId="06AC02F9">
      <w:pPr>
        <w:adjustRightInd w:val="0"/>
        <w:snapToGrid w:val="0"/>
        <w:spacing w:line="360" w:lineRule="auto"/>
        <w:jc w:val="left"/>
        <w:outlineLvl w:val="9"/>
        <w:rPr>
          <w:rFonts w:ascii="宋体" w:hAnsi="宋体" w:eastAsia="宋体" w:cs="宋体"/>
          <w:sz w:val="24"/>
          <w:szCs w:val="24"/>
        </w:rPr>
      </w:pPr>
      <w:r>
        <w:rPr>
          <w:rFonts w:ascii="宋体" w:hAnsi="宋体" w:eastAsia="宋体" w:cs="宋体"/>
          <w:sz w:val="24"/>
          <w:szCs w:val="24"/>
        </w:rPr>
        <w:t>1.点击立即注册</w:t>
      </w:r>
    </w:p>
    <w:p w14:paraId="43E0CCFD">
      <w:pPr>
        <w:snapToGrid w:val="0"/>
        <w:spacing w:line="312" w:lineRule="auto"/>
      </w:pPr>
      <w:r>
        <w:drawing>
          <wp:inline distT="0" distB="0" distL="0" distR="0">
            <wp:extent cx="5760085" cy="2933065"/>
            <wp:effectExtent l="0" t="0" r="12065" b="635"/>
            <wp:docPr id="3" name="picture" descr="descript"/>
            <wp:cNvGraphicFramePr/>
            <a:graphic xmlns:a="http://schemas.openxmlformats.org/drawingml/2006/main">
              <a:graphicData uri="http://schemas.openxmlformats.org/drawingml/2006/picture">
                <pic:pic xmlns:pic="http://schemas.openxmlformats.org/drawingml/2006/picture">
                  <pic:nvPicPr>
                    <pic:cNvPr id="3" name="picture" descr="descript"/>
                    <pic:cNvPicPr/>
                  </pic:nvPicPr>
                  <pic:blipFill>
                    <a:blip r:embed="rId18" cstate="print"/>
                    <a:srcRect/>
                    <a:stretch>
                      <a:fillRect/>
                    </a:stretch>
                  </pic:blipFill>
                  <pic:spPr>
                    <a:xfrm>
                      <a:off x="0" y="0"/>
                      <a:ext cx="5760085" cy="2933065"/>
                    </a:xfrm>
                    <a:prstGeom prst="rect">
                      <a:avLst/>
                    </a:prstGeom>
                  </pic:spPr>
                </pic:pic>
              </a:graphicData>
            </a:graphic>
          </wp:inline>
        </w:drawing>
      </w:r>
    </w:p>
    <w:p w14:paraId="38147027">
      <w:pPr>
        <w:keepNext w:val="0"/>
        <w:keepLines w:val="0"/>
        <w:widowControl/>
        <w:suppressLineNumbers w:val="0"/>
        <w:jc w:val="left"/>
      </w:pPr>
      <w:r>
        <w:rPr>
          <w:rFonts w:hint="eastAsia" w:ascii="宋体" w:hAnsi="宋体" w:eastAsia="宋体" w:cs="宋体"/>
          <w:color w:val="000000"/>
          <w:sz w:val="24"/>
          <w:szCs w:val="28"/>
        </w:rPr>
        <w:t>2.</w:t>
      </w:r>
      <w:r>
        <w:rPr>
          <w:rFonts w:ascii="宋体" w:hAnsi="宋体" w:eastAsia="宋体" w:cs="宋体"/>
          <w:color w:val="000000"/>
          <w:sz w:val="24"/>
          <w:szCs w:val="28"/>
        </w:rPr>
        <w:t>填写</w:t>
      </w:r>
      <w:r>
        <w:rPr>
          <w:rFonts w:hint="eastAsia" w:ascii="宋体" w:hAnsi="宋体" w:cs="宋体"/>
          <w:color w:val="000000"/>
          <w:sz w:val="24"/>
          <w:szCs w:val="28"/>
          <w:lang w:val="en-US" w:eastAsia="zh-CN"/>
        </w:rPr>
        <w:t>姓名、</w:t>
      </w:r>
      <w:r>
        <w:rPr>
          <w:rFonts w:ascii="宋体" w:hAnsi="宋体" w:eastAsia="宋体" w:cs="宋体"/>
          <w:color w:val="000000"/>
          <w:sz w:val="24"/>
          <w:szCs w:val="28"/>
        </w:rPr>
        <w:t>手机号码（没有注册过的）</w:t>
      </w:r>
      <w:r>
        <w:rPr>
          <w:rFonts w:hint="eastAsia" w:ascii="宋体" w:hAnsi="宋体" w:cs="宋体"/>
          <w:color w:val="000000"/>
          <w:sz w:val="24"/>
          <w:szCs w:val="28"/>
          <w:lang w:eastAsia="zh-CN"/>
        </w:rPr>
        <w:t>，</w:t>
      </w:r>
      <w:r>
        <w:rPr>
          <w:rFonts w:hint="eastAsia" w:ascii="宋体" w:hAnsi="宋体" w:eastAsia="宋体" w:cs="宋体"/>
          <w:color w:val="000000"/>
          <w:sz w:val="24"/>
          <w:szCs w:val="28"/>
          <w:lang w:val="en-US" w:eastAsia="zh-CN"/>
        </w:rPr>
        <w:t>通过手机号接收验证码（区分大小写），点击完成后提示“注册成功，请重新登录”。同时系统自动给手机号发送短信，短信中告知登录账号及初始密码。需要使用此账号密码登录系统，进行供应商信息注册</w:t>
      </w:r>
      <w:r>
        <w:rPr>
          <w:rFonts w:hint="eastAsia" w:ascii="宋体" w:hAnsi="宋体" w:eastAsia="宋体" w:cs="宋体"/>
          <w:color w:val="000000"/>
          <w:kern w:val="0"/>
          <w:sz w:val="20"/>
          <w:szCs w:val="20"/>
          <w:lang w:val="en-US" w:eastAsia="zh-CN" w:bidi="ar"/>
        </w:rPr>
        <w:t>。</w:t>
      </w:r>
    </w:p>
    <w:p w14:paraId="73620843">
      <w:pPr>
        <w:snapToGrid w:val="0"/>
        <w:spacing w:line="312" w:lineRule="auto"/>
      </w:pPr>
      <w:r>
        <w:drawing>
          <wp:inline distT="0" distB="0" distL="0" distR="0">
            <wp:extent cx="5760085" cy="2766695"/>
            <wp:effectExtent l="0" t="0" r="12065" b="14605"/>
            <wp:docPr id="4" name="picture" descr="descript"/>
            <wp:cNvGraphicFramePr/>
            <a:graphic xmlns:a="http://schemas.openxmlformats.org/drawingml/2006/main">
              <a:graphicData uri="http://schemas.openxmlformats.org/drawingml/2006/picture">
                <pic:pic xmlns:pic="http://schemas.openxmlformats.org/drawingml/2006/picture">
                  <pic:nvPicPr>
                    <pic:cNvPr id="4" name="picture" descr="descript"/>
                    <pic:cNvPicPr/>
                  </pic:nvPicPr>
                  <pic:blipFill>
                    <a:blip r:embed="rId19" cstate="print"/>
                    <a:srcRect/>
                    <a:stretch>
                      <a:fillRect/>
                    </a:stretch>
                  </pic:blipFill>
                  <pic:spPr>
                    <a:xfrm>
                      <a:off x="0" y="0"/>
                      <a:ext cx="5760085" cy="2766695"/>
                    </a:xfrm>
                    <a:prstGeom prst="rect">
                      <a:avLst/>
                    </a:prstGeom>
                  </pic:spPr>
                </pic:pic>
              </a:graphicData>
            </a:graphic>
          </wp:inline>
        </w:drawing>
      </w:r>
    </w:p>
    <w:p w14:paraId="1DF63456">
      <w:pPr>
        <w:spacing w:line="360" w:lineRule="auto"/>
        <w:rPr>
          <w:rFonts w:ascii="宋体" w:hAnsi="宋体" w:eastAsia="宋体" w:cs="宋体"/>
          <w:sz w:val="24"/>
          <w:szCs w:val="28"/>
        </w:rPr>
      </w:pPr>
      <w:r>
        <w:rPr>
          <w:rFonts w:hint="eastAsia" w:ascii="宋体" w:hAnsi="宋体" w:eastAsia="宋体" w:cs="宋体"/>
          <w:color w:val="000000"/>
          <w:sz w:val="24"/>
          <w:szCs w:val="28"/>
        </w:rPr>
        <w:t>3.</w:t>
      </w:r>
      <w:r>
        <w:rPr>
          <w:rFonts w:ascii="宋体" w:hAnsi="宋体" w:eastAsia="宋体" w:cs="宋体"/>
          <w:color w:val="000000"/>
          <w:sz w:val="24"/>
          <w:szCs w:val="28"/>
        </w:rPr>
        <w:t>注册成功登录这个手机号码的账号进入系统，点击供应商注册</w:t>
      </w:r>
    </w:p>
    <w:p w14:paraId="471D49BE">
      <w:pPr>
        <w:snapToGrid w:val="0"/>
        <w:spacing w:line="312" w:lineRule="auto"/>
      </w:pPr>
      <w:r>
        <w:drawing>
          <wp:inline distT="0" distB="0" distL="0" distR="0">
            <wp:extent cx="5760085" cy="2757170"/>
            <wp:effectExtent l="0" t="0" r="12065" b="5080"/>
            <wp:docPr id="5" name="picture" descr="descript"/>
            <wp:cNvGraphicFramePr/>
            <a:graphic xmlns:a="http://schemas.openxmlformats.org/drawingml/2006/main">
              <a:graphicData uri="http://schemas.openxmlformats.org/drawingml/2006/picture">
                <pic:pic xmlns:pic="http://schemas.openxmlformats.org/drawingml/2006/picture">
                  <pic:nvPicPr>
                    <pic:cNvPr id="5" name="picture" descr="descript"/>
                    <pic:cNvPicPr/>
                  </pic:nvPicPr>
                  <pic:blipFill>
                    <a:blip r:embed="rId20" cstate="print"/>
                    <a:srcRect/>
                    <a:stretch>
                      <a:fillRect/>
                    </a:stretch>
                  </pic:blipFill>
                  <pic:spPr>
                    <a:xfrm>
                      <a:off x="0" y="0"/>
                      <a:ext cx="5760085" cy="2757170"/>
                    </a:xfrm>
                    <a:prstGeom prst="rect">
                      <a:avLst/>
                    </a:prstGeom>
                  </pic:spPr>
                </pic:pic>
              </a:graphicData>
            </a:graphic>
          </wp:inline>
        </w:drawing>
      </w:r>
    </w:p>
    <w:p w14:paraId="258F46E5">
      <w:pPr>
        <w:spacing w:line="360" w:lineRule="auto"/>
        <w:rPr>
          <w:rFonts w:ascii="宋体" w:hAnsi="宋体" w:eastAsia="宋体" w:cs="宋体"/>
          <w:sz w:val="24"/>
          <w:szCs w:val="28"/>
        </w:rPr>
      </w:pPr>
      <w:r>
        <w:rPr>
          <w:rFonts w:hint="eastAsia" w:ascii="宋体" w:hAnsi="宋体" w:eastAsia="宋体" w:cs="宋体"/>
          <w:color w:val="000000"/>
          <w:sz w:val="24"/>
          <w:szCs w:val="28"/>
        </w:rPr>
        <w:t>4.</w:t>
      </w:r>
      <w:r>
        <w:rPr>
          <w:rFonts w:ascii="宋体" w:hAnsi="宋体" w:eastAsia="宋体" w:cs="宋体"/>
          <w:color w:val="000000"/>
          <w:sz w:val="24"/>
          <w:szCs w:val="28"/>
        </w:rPr>
        <w:t>点击新增</w:t>
      </w:r>
    </w:p>
    <w:p w14:paraId="7EC3BF17">
      <w:pPr>
        <w:snapToGrid w:val="0"/>
        <w:spacing w:line="312" w:lineRule="auto"/>
      </w:pPr>
      <w:r>
        <w:drawing>
          <wp:inline distT="0" distB="0" distL="0" distR="0">
            <wp:extent cx="5760085" cy="2574925"/>
            <wp:effectExtent l="0" t="0" r="12065" b="15875"/>
            <wp:docPr id="9" name="picture" descr="descript"/>
            <wp:cNvGraphicFramePr/>
            <a:graphic xmlns:a="http://schemas.openxmlformats.org/drawingml/2006/main">
              <a:graphicData uri="http://schemas.openxmlformats.org/drawingml/2006/picture">
                <pic:pic xmlns:pic="http://schemas.openxmlformats.org/drawingml/2006/picture">
                  <pic:nvPicPr>
                    <pic:cNvPr id="9" name="picture" descr="descript"/>
                    <pic:cNvPicPr/>
                  </pic:nvPicPr>
                  <pic:blipFill>
                    <a:blip r:embed="rId21" cstate="print"/>
                    <a:srcRect/>
                    <a:stretch>
                      <a:fillRect/>
                    </a:stretch>
                  </pic:blipFill>
                  <pic:spPr>
                    <a:xfrm>
                      <a:off x="0" y="0"/>
                      <a:ext cx="5760085" cy="2574925"/>
                    </a:xfrm>
                    <a:prstGeom prst="rect">
                      <a:avLst/>
                    </a:prstGeom>
                  </pic:spPr>
                </pic:pic>
              </a:graphicData>
            </a:graphic>
          </wp:inline>
        </w:drawing>
      </w:r>
    </w:p>
    <w:p w14:paraId="619779B8">
      <w:pPr>
        <w:numPr>
          <w:ilvl w:val="0"/>
          <w:numId w:val="11"/>
        </w:numPr>
        <w:spacing w:line="360" w:lineRule="auto"/>
      </w:pPr>
      <w:r>
        <w:rPr>
          <w:rFonts w:ascii="宋体" w:hAnsi="宋体" w:eastAsia="宋体" w:cs="宋体"/>
          <w:color w:val="000000"/>
          <w:sz w:val="24"/>
          <w:szCs w:val="28"/>
        </w:rPr>
        <w:t>按要求填写所有信息，注意非生产类要填写合作单位，最后提交审批</w:t>
      </w:r>
      <w:r>
        <w:drawing>
          <wp:inline distT="0" distB="0" distL="114300" distR="114300">
            <wp:extent cx="5758180" cy="3058795"/>
            <wp:effectExtent l="0" t="0" r="13970" b="825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22"/>
                    <a:stretch>
                      <a:fillRect/>
                    </a:stretch>
                  </pic:blipFill>
                  <pic:spPr>
                    <a:xfrm>
                      <a:off x="0" y="0"/>
                      <a:ext cx="5758180" cy="3058795"/>
                    </a:xfrm>
                    <a:prstGeom prst="rect">
                      <a:avLst/>
                    </a:prstGeom>
                    <a:noFill/>
                    <a:ln>
                      <a:noFill/>
                    </a:ln>
                  </pic:spPr>
                </pic:pic>
              </a:graphicData>
            </a:graphic>
          </wp:inline>
        </w:drawing>
      </w:r>
    </w:p>
    <w:p w14:paraId="23EE8F94">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w:t>
      </w:r>
      <w:r>
        <w:rPr>
          <w:rFonts w:hint="eastAsia" w:ascii="宋体" w:hAnsi="宋体" w:eastAsia="宋体" w:cs="宋体"/>
          <w:b/>
          <w:bCs/>
          <w:sz w:val="24"/>
          <w:szCs w:val="24"/>
          <w:lang w:val="en-US" w:eastAsia="zh-CN"/>
        </w:rPr>
        <w:t>非生产-直管-直管</w:t>
      </w:r>
      <w:r>
        <w:rPr>
          <w:rFonts w:hint="eastAsia" w:ascii="宋体" w:hAnsi="宋体" w:eastAsia="宋体" w:cs="宋体"/>
          <w:sz w:val="24"/>
          <w:szCs w:val="24"/>
          <w:lang w:val="en-US" w:eastAsia="zh-CN"/>
        </w:rPr>
        <w:t>）</w:t>
      </w:r>
    </w:p>
    <w:p w14:paraId="3A98D68D">
      <w:r>
        <w:drawing>
          <wp:inline distT="0" distB="0" distL="0" distR="0">
            <wp:extent cx="5760085" cy="2809875"/>
            <wp:effectExtent l="0" t="0" r="12065" b="9525"/>
            <wp:docPr id="11" name="picture" descr="descript"/>
            <wp:cNvGraphicFramePr/>
            <a:graphic xmlns:a="http://schemas.openxmlformats.org/drawingml/2006/main">
              <a:graphicData uri="http://schemas.openxmlformats.org/drawingml/2006/picture">
                <pic:pic xmlns:pic="http://schemas.openxmlformats.org/drawingml/2006/picture">
                  <pic:nvPicPr>
                    <pic:cNvPr id="11" name="picture" descr="descript"/>
                    <pic:cNvPicPr/>
                  </pic:nvPicPr>
                  <pic:blipFill>
                    <a:blip r:embed="rId23" cstate="print"/>
                    <a:srcRect/>
                    <a:stretch>
                      <a:fillRect/>
                    </a:stretch>
                  </pic:blipFill>
                  <pic:spPr>
                    <a:xfrm>
                      <a:off x="0" y="0"/>
                      <a:ext cx="5760085" cy="2809875"/>
                    </a:xfrm>
                    <a:prstGeom prst="rect">
                      <a:avLst/>
                    </a:prstGeom>
                  </pic:spPr>
                </pic:pic>
              </a:graphicData>
            </a:graphic>
          </wp:inline>
        </w:drawing>
      </w:r>
    </w:p>
    <w:p w14:paraId="43BDB6C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377A2D12">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“项目名称”和“采购形式编号”见</w:t>
      </w:r>
      <w:r>
        <w:rPr>
          <w:rFonts w:hint="eastAsia" w:ascii="宋体" w:hAnsi="宋体" w:cs="宋体"/>
          <w:b/>
          <w:bCs/>
          <w:color w:val="000000"/>
          <w:sz w:val="24"/>
          <w:szCs w:val="28"/>
          <w:highlight w:val="none"/>
          <w:lang w:val="en-US" w:eastAsia="zh-CN"/>
        </w:rPr>
        <w:t>第一部分的</w:t>
      </w:r>
      <w:r>
        <w:rPr>
          <w:rFonts w:hint="eastAsia" w:ascii="宋体" w:hAnsi="宋体" w:cs="宋体"/>
          <w:b/>
          <w:bCs/>
          <w:color w:val="000000"/>
          <w:sz w:val="24"/>
          <w:szCs w:val="28"/>
          <w:highlight w:val="none"/>
          <w:lang w:eastAsia="zh-CN"/>
        </w:rPr>
        <w:t>“</w:t>
      </w:r>
      <w:r>
        <w:rPr>
          <w:rFonts w:hint="eastAsia" w:ascii="宋体" w:hAnsi="宋体" w:cs="宋体"/>
          <w:b/>
          <w:bCs/>
          <w:color w:val="000000"/>
          <w:sz w:val="24"/>
          <w:szCs w:val="28"/>
          <w:highlight w:val="none"/>
          <w:lang w:val="en-US" w:eastAsia="zh-CN"/>
        </w:rPr>
        <w:t>项目介绍”</w:t>
      </w:r>
      <w:r>
        <w:rPr>
          <w:rFonts w:hint="eastAsia" w:ascii="宋体" w:hAnsi="宋体" w:eastAsia="宋体" w:cs="宋体"/>
          <w:b/>
          <w:bCs/>
          <w:color w:val="000000"/>
          <w:sz w:val="24"/>
          <w:szCs w:val="28"/>
          <w:highlight w:val="none"/>
        </w:rPr>
        <w:t>；</w:t>
      </w:r>
    </w:p>
    <w:p w14:paraId="665FE416">
      <w:pPr>
        <w:keepNext w:val="0"/>
        <w:keepLines w:val="0"/>
        <w:pageBreakBefore w:val="0"/>
        <w:widowControl w:val="0"/>
        <w:numPr>
          <w:ilvl w:val="0"/>
          <w:numId w:val="12"/>
        </w:numPr>
        <w:kinsoku/>
        <w:wordWrap/>
        <w:overflowPunct/>
        <w:topLinePunct w:val="0"/>
        <w:autoSpaceDE/>
        <w:autoSpaceDN/>
        <w:bidi w:val="0"/>
        <w:adjustRightInd/>
        <w:snapToGrid/>
        <w:spacing w:line="440" w:lineRule="exact"/>
        <w:ind w:left="0" w:leftChars="0" w:firstLine="0" w:firstLineChars="0"/>
        <w:textAlignment w:val="auto"/>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lang w:val="en-US" w:eastAsia="zh-CN"/>
        </w:rPr>
        <w:t>基本信息</w:t>
      </w:r>
      <w:r>
        <w:rPr>
          <w:rFonts w:hint="eastAsia" w:ascii="宋体" w:hAnsi="宋体" w:cs="宋体"/>
          <w:b/>
          <w:bCs/>
          <w:color w:val="000000"/>
          <w:sz w:val="24"/>
          <w:szCs w:val="28"/>
          <w:highlight w:val="none"/>
          <w:lang w:val="en-US" w:eastAsia="zh-CN"/>
        </w:rPr>
        <w:t>的填写</w:t>
      </w:r>
      <w:r>
        <w:rPr>
          <w:rFonts w:hint="eastAsia" w:ascii="宋体" w:hAnsi="宋体" w:eastAsia="宋体" w:cs="宋体"/>
          <w:b/>
          <w:bCs/>
          <w:color w:val="000000"/>
          <w:sz w:val="24"/>
          <w:szCs w:val="28"/>
          <w:highlight w:val="none"/>
          <w:lang w:val="en-US" w:eastAsia="zh-CN"/>
        </w:rPr>
        <w:t>尽可能完整，原则上要求供应商</w:t>
      </w:r>
      <w:r>
        <w:rPr>
          <w:rFonts w:hint="eastAsia" w:ascii="宋体" w:hAnsi="宋体" w:eastAsia="宋体" w:cs="宋体"/>
          <w:b/>
          <w:bCs/>
          <w:color w:val="000000"/>
          <w:sz w:val="24"/>
          <w:szCs w:val="28"/>
          <w:highlight w:val="yellow"/>
          <w:lang w:val="en-US" w:eastAsia="zh-CN"/>
        </w:rPr>
        <w:t>必须填写近三年财务指标情况</w:t>
      </w:r>
      <w:r>
        <w:rPr>
          <w:rFonts w:hint="eastAsia" w:ascii="宋体" w:hAnsi="宋体" w:eastAsia="宋体" w:cs="宋体"/>
          <w:b/>
          <w:bCs/>
          <w:color w:val="000000"/>
          <w:sz w:val="24"/>
          <w:szCs w:val="28"/>
          <w:highlight w:val="none"/>
          <w:lang w:val="en-US" w:eastAsia="zh-CN"/>
        </w:rPr>
        <w:t>；</w:t>
      </w:r>
    </w:p>
    <w:p w14:paraId="4C007F01">
      <w:pPr>
        <w:pStyle w:val="7"/>
        <w:outlineLvl w:val="2"/>
        <w:rPr>
          <w:rFonts w:hint="eastAsia"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注：管理单位选择【直管单位】、意向配套单位选择【直管单位】</w:t>
      </w:r>
      <w:r>
        <w:rPr>
          <w:rFonts w:hint="eastAsia" w:ascii="宋体" w:hAnsi="宋体" w:eastAsia="宋体" w:cs="宋体"/>
          <w:b/>
          <w:bCs/>
          <w:color w:val="000000"/>
          <w:sz w:val="24"/>
          <w:szCs w:val="28"/>
          <w:highlight w:val="none"/>
          <w:lang w:eastAsia="zh-CN"/>
        </w:rPr>
        <w:t>，</w:t>
      </w:r>
      <w:r>
        <w:rPr>
          <w:rFonts w:hint="eastAsia" w:ascii="宋体" w:hAnsi="宋体" w:eastAsia="宋体" w:cs="宋体"/>
          <w:b/>
          <w:bCs/>
          <w:color w:val="000000"/>
          <w:sz w:val="24"/>
          <w:szCs w:val="28"/>
          <w:highlight w:val="none"/>
        </w:rPr>
        <w:t>配套能力“供货类别”填“</w:t>
      </w:r>
      <w:r>
        <w:rPr>
          <w:rFonts w:hint="eastAsia" w:ascii="宋体" w:hAnsi="宋体" w:eastAsia="宋体" w:cs="宋体"/>
          <w:b/>
          <w:bCs/>
          <w:color w:val="000000"/>
          <w:sz w:val="24"/>
          <w:szCs w:val="28"/>
          <w:highlight w:val="yellow"/>
        </w:rPr>
        <w:t xml:space="preserve">直管单位非生产招标 / </w:t>
      </w:r>
      <w:r>
        <w:rPr>
          <w:rFonts w:hint="eastAsia" w:hAnsi="宋体" w:cs="宋体"/>
          <w:b/>
          <w:bCs/>
          <w:color w:val="000000"/>
          <w:sz w:val="24"/>
          <w:szCs w:val="28"/>
          <w:highlight w:val="yellow"/>
          <w:lang w:val="en-US" w:eastAsia="zh-CN"/>
        </w:rPr>
        <w:t>货物/安全消防</w:t>
      </w:r>
      <w:r>
        <w:rPr>
          <w:rFonts w:hint="eastAsia" w:ascii="宋体" w:hAnsi="宋体" w:eastAsia="宋体" w:cs="宋体"/>
          <w:b/>
          <w:bCs/>
          <w:color w:val="000000"/>
          <w:sz w:val="24"/>
          <w:szCs w:val="28"/>
          <w:highlight w:val="none"/>
        </w:rPr>
        <w:t>”，业务主管部门选择“</w:t>
      </w:r>
      <w:r>
        <w:rPr>
          <w:rFonts w:hint="eastAsia" w:hAnsi="宋体" w:cs="宋体"/>
          <w:b/>
          <w:bCs/>
          <w:color w:val="000000"/>
          <w:sz w:val="24"/>
          <w:szCs w:val="28"/>
          <w:highlight w:val="yellow"/>
          <w:lang w:val="en-US" w:eastAsia="zh-CN"/>
        </w:rPr>
        <w:t>安全环保</w:t>
      </w:r>
      <w:r>
        <w:rPr>
          <w:rFonts w:hint="eastAsia" w:ascii="宋体" w:hAnsi="宋体" w:eastAsia="宋体" w:cs="宋体"/>
          <w:b/>
          <w:bCs/>
          <w:color w:val="000000"/>
          <w:sz w:val="24"/>
          <w:szCs w:val="28"/>
          <w:highlight w:val="yellow"/>
        </w:rPr>
        <w:t>部</w:t>
      </w:r>
      <w:r>
        <w:rPr>
          <w:rFonts w:hint="eastAsia" w:ascii="宋体" w:hAnsi="宋体" w:eastAsia="宋体" w:cs="宋体"/>
          <w:b/>
          <w:bCs/>
          <w:color w:val="000000"/>
          <w:sz w:val="24"/>
          <w:szCs w:val="28"/>
          <w:highlight w:val="none"/>
        </w:rPr>
        <w:t>”。</w:t>
      </w:r>
    </w:p>
    <w:p w14:paraId="4CBE5D96">
      <w:pPr>
        <w:pStyle w:val="7"/>
        <w:outlineLvl w:val="2"/>
        <w:rPr>
          <w:rFonts w:hint="eastAsia" w:ascii="宋体" w:hAnsi="宋体" w:eastAsia="宋体" w:cs="宋体"/>
          <w:b/>
          <w:bCs/>
          <w:color w:val="000000"/>
          <w:sz w:val="24"/>
          <w:szCs w:val="28"/>
          <w:highlight w:val="none"/>
        </w:rPr>
      </w:pPr>
    </w:p>
    <w:p w14:paraId="7151F6BD">
      <w:pPr>
        <w:pStyle w:val="7"/>
        <w:outlineLvl w:val="2"/>
        <w:rPr>
          <w:rFonts w:hint="eastAsia" w:ascii="宋体" w:hAnsi="宋体" w:eastAsia="宋体" w:cs="宋体"/>
          <w:b/>
          <w:bCs/>
          <w:color w:val="000000"/>
          <w:sz w:val="24"/>
          <w:szCs w:val="28"/>
          <w:highlight w:val="none"/>
        </w:rPr>
      </w:pPr>
    </w:p>
    <w:p w14:paraId="5E41ABB5">
      <w:pPr>
        <w:pStyle w:val="7"/>
        <w:outlineLvl w:val="2"/>
        <w:rPr>
          <w:rFonts w:hint="eastAsia" w:ascii="宋体" w:hAnsi="宋体" w:eastAsia="宋体" w:cs="宋体"/>
          <w:b/>
          <w:bCs/>
          <w:color w:val="000000"/>
          <w:sz w:val="24"/>
          <w:szCs w:val="28"/>
          <w:highlight w:val="none"/>
        </w:rPr>
      </w:pPr>
    </w:p>
    <w:p w14:paraId="1D2D9672">
      <w:pPr>
        <w:keepNext w:val="0"/>
        <w:keepLines w:val="0"/>
        <w:pageBreakBefore w:val="0"/>
        <w:widowControl w:val="0"/>
        <w:numPr>
          <w:ilvl w:val="0"/>
          <w:numId w:val="13"/>
        </w:numPr>
        <w:kinsoku/>
        <w:wordWrap/>
        <w:overflowPunct/>
        <w:topLinePunct w:val="0"/>
        <w:autoSpaceDE/>
        <w:autoSpaceDN/>
        <w:bidi w:val="0"/>
        <w:adjustRightInd w:val="0"/>
        <w:snapToGrid w:val="0"/>
        <w:spacing w:before="313" w:beforeLines="100" w:after="157" w:afterLines="50" w:line="440" w:lineRule="exact"/>
        <w:jc w:val="left"/>
        <w:textAlignment w:val="auto"/>
        <w:outlineLvl w:val="3"/>
        <w:rPr>
          <w:rFonts w:hint="default"/>
          <w:sz w:val="24"/>
          <w:szCs w:val="24"/>
          <w:lang w:val="en-US" w:eastAsia="zh-CN"/>
        </w:rPr>
      </w:pPr>
      <w:r>
        <w:rPr>
          <w:rFonts w:hint="eastAsia"/>
          <w:b/>
          <w:bCs/>
          <w:sz w:val="24"/>
          <w:szCs w:val="24"/>
          <w:lang w:val="en-US" w:eastAsia="zh-CN"/>
        </w:rPr>
        <w:t>维护近三年财务指标</w:t>
      </w:r>
    </w:p>
    <w:p w14:paraId="5FE132AC">
      <w:pPr>
        <w:numPr>
          <w:ilvl w:val="0"/>
          <w:numId w:val="0"/>
        </w:numPr>
        <w:spacing w:line="360" w:lineRule="auto"/>
        <w:rPr>
          <w:rFonts w:ascii="宋体" w:hAnsi="宋体" w:eastAsia="宋体" w:cs="宋体"/>
          <w:color w:val="000000"/>
          <w:sz w:val="24"/>
          <w:szCs w:val="28"/>
        </w:rPr>
      </w:pPr>
      <w:r>
        <w:rPr>
          <w:rFonts w:hint="eastAsia" w:ascii="宋体" w:hAnsi="宋体" w:cs="宋体"/>
          <w:color w:val="000000"/>
          <w:sz w:val="24"/>
          <w:szCs w:val="28"/>
          <w:lang w:val="en-US" w:eastAsia="zh-CN"/>
        </w:rPr>
        <w:t>1.</w:t>
      </w:r>
      <w:r>
        <w:rPr>
          <w:rFonts w:hint="eastAsia" w:ascii="宋体" w:hAnsi="宋体" w:eastAsia="宋体" w:cs="宋体"/>
          <w:color w:val="000000"/>
          <w:sz w:val="24"/>
          <w:szCs w:val="28"/>
          <w:lang w:val="en-US" w:eastAsia="zh-CN"/>
        </w:rPr>
        <w:t>供应商使用业务账号登录系统后，通过菜单路径：供应商中心→供应商变更→供应商财务数据变更管理，点击【发起变更】按钮，进入供应商财务数据变更填写界面。</w:t>
      </w:r>
    </w:p>
    <w:p w14:paraId="30201E23">
      <w:pPr>
        <w:outlineLvl w:val="9"/>
        <w:rPr>
          <w:rFonts w:hint="default"/>
          <w:lang w:val="en-US" w:eastAsia="zh-CN"/>
        </w:rPr>
        <w:sectPr>
          <w:headerReference r:id="rId9" w:type="first"/>
          <w:footerReference r:id="rId11" w:type="first"/>
          <w:headerReference r:id="rId8" w:type="default"/>
          <w:footerReference r:id="rId10" w:type="default"/>
          <w:pgSz w:w="11906" w:h="16838"/>
          <w:pgMar w:top="1588" w:right="1418" w:bottom="1134" w:left="1418" w:header="851" w:footer="992" w:gutter="0"/>
          <w:pgNumType w:fmt="decimal"/>
          <w:cols w:space="720" w:num="1"/>
          <w:titlePg/>
          <w:docGrid w:type="lines" w:linePitch="312" w:charSpace="0"/>
        </w:sectPr>
      </w:pPr>
      <w:r>
        <w:rPr>
          <w:rFonts w:hint="default"/>
          <w:lang w:val="en-US" w:eastAsia="zh-CN"/>
        </w:rPr>
        <w:br w:type="textWrapping"/>
      </w:r>
      <w:r>
        <w:drawing>
          <wp:inline distT="0" distB="0" distL="114300" distR="114300">
            <wp:extent cx="5486400" cy="2661285"/>
            <wp:effectExtent l="0" t="0" r="0" b="571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4"/>
                    <a:stretch>
                      <a:fillRect/>
                    </a:stretch>
                  </pic:blipFill>
                  <pic:spPr>
                    <a:xfrm>
                      <a:off x="0" y="0"/>
                      <a:ext cx="5486400" cy="2661285"/>
                    </a:xfrm>
                    <a:prstGeom prst="rect">
                      <a:avLst/>
                    </a:prstGeom>
                    <a:noFill/>
                    <a:ln>
                      <a:noFill/>
                    </a:ln>
                  </pic:spPr>
                </pic:pic>
              </a:graphicData>
            </a:graphic>
          </wp:inline>
        </w:drawing>
      </w:r>
    </w:p>
    <w:p w14:paraId="54BA80A3">
      <w:pPr>
        <w:pStyle w:val="7"/>
        <w:outlineLvl w:val="2"/>
        <w:rPr>
          <w:rFonts w:hAnsi="宋体" w:eastAsia="宋体" w:cs="Times New Roman"/>
          <w:b/>
          <w:color w:val="000000"/>
          <w:sz w:val="24"/>
          <w:szCs w:val="24"/>
        </w:rPr>
      </w:pPr>
      <w:r>
        <w:rPr>
          <w:rFonts w:hint="eastAsia" w:hAnsi="宋体" w:eastAsia="宋体" w:cs="宋体"/>
          <w:b/>
          <w:bCs/>
          <w:color w:val="000000"/>
          <w:sz w:val="24"/>
          <w:szCs w:val="24"/>
        </w:rPr>
        <w:t>附件</w:t>
      </w:r>
      <w:r>
        <w:rPr>
          <w:rFonts w:hint="eastAsia" w:hAnsi="宋体" w:cs="宋体"/>
          <w:b/>
          <w:bCs/>
          <w:color w:val="000000"/>
          <w:sz w:val="24"/>
          <w:szCs w:val="24"/>
          <w:lang w:val="en-US" w:eastAsia="zh-CN"/>
        </w:rPr>
        <w:t>二</w:t>
      </w:r>
      <w:r>
        <w:rPr>
          <w:rFonts w:hint="eastAsia" w:hAnsi="宋体" w:eastAsia="宋体" w:cs="宋体"/>
          <w:b/>
          <w:bCs/>
          <w:color w:val="000000"/>
          <w:sz w:val="24"/>
          <w:szCs w:val="24"/>
        </w:rPr>
        <w:t xml:space="preserve"> </w:t>
      </w:r>
      <w:r>
        <w:rPr>
          <w:rFonts w:hint="eastAsia" w:hAnsi="宋体" w:eastAsia="宋体" w:cs="Times New Roman"/>
          <w:b/>
          <w:color w:val="000000"/>
          <w:sz w:val="24"/>
          <w:szCs w:val="24"/>
        </w:rPr>
        <w:t>SRM系统供应商用户手册</w:t>
      </w:r>
    </w:p>
    <w:p w14:paraId="4014C854">
      <w:pPr>
        <w:spacing w:line="360" w:lineRule="auto"/>
        <w:rPr>
          <w:rFonts w:ascii="宋体" w:hAnsi="宋体" w:eastAsia="宋体" w:cs="宋体"/>
          <w:sz w:val="24"/>
          <w:szCs w:val="24"/>
        </w:rPr>
      </w:pPr>
      <w:r>
        <w:rPr>
          <w:rFonts w:hint="eastAsia" w:ascii="宋体" w:hAnsi="宋体" w:eastAsia="宋体" w:cs="宋体"/>
          <w:color w:val="000000"/>
          <w:sz w:val="24"/>
          <w:szCs w:val="24"/>
        </w:rPr>
        <w:t>系统网址：</w:t>
      </w:r>
      <w:r>
        <w:fldChar w:fldCharType="begin"/>
      </w:r>
      <w:r>
        <w:instrText xml:space="preserve"> HYPERLINK "http://ecaitong.sinotruk.com:8012/" \t "dlt" </w:instrText>
      </w:r>
      <w:r>
        <w:fldChar w:fldCharType="separate"/>
      </w:r>
      <w:r>
        <w:rPr>
          <w:rStyle w:val="18"/>
          <w:rFonts w:hint="eastAsia" w:ascii="宋体" w:hAnsi="宋体" w:eastAsia="宋体" w:cs="宋体"/>
          <w:sz w:val="24"/>
          <w:szCs w:val="24"/>
        </w:rPr>
        <w:t>http</w:t>
      </w:r>
      <w:r>
        <w:rPr>
          <w:rStyle w:val="18"/>
          <w:rFonts w:hint="eastAsia" w:ascii="宋体" w:hAnsi="宋体" w:eastAsia="宋体" w:cs="宋体"/>
          <w:sz w:val="24"/>
          <w:szCs w:val="24"/>
          <w:lang w:val="en-US" w:eastAsia="zh-CN"/>
        </w:rPr>
        <w:t>s</w:t>
      </w:r>
      <w:r>
        <w:rPr>
          <w:rStyle w:val="18"/>
          <w:rFonts w:hint="eastAsia" w:ascii="宋体" w:hAnsi="宋体" w:eastAsia="宋体" w:cs="宋体"/>
          <w:sz w:val="24"/>
          <w:szCs w:val="24"/>
        </w:rPr>
        <w:t>://ecaitong.sinotruk.com:8012/</w:t>
      </w:r>
      <w:r>
        <w:rPr>
          <w:rStyle w:val="18"/>
          <w:rFonts w:hint="eastAsia" w:ascii="宋体" w:hAnsi="宋体" w:eastAsia="宋体" w:cs="宋体"/>
          <w:sz w:val="24"/>
          <w:szCs w:val="24"/>
        </w:rPr>
        <w:fldChar w:fldCharType="end"/>
      </w:r>
    </w:p>
    <w:p w14:paraId="3FF4ED94">
      <w:pPr>
        <w:spacing w:line="360" w:lineRule="auto"/>
        <w:rPr>
          <w:rFonts w:ascii="宋体" w:hAnsi="宋体" w:eastAsia="宋体" w:cs="宋体"/>
          <w:sz w:val="24"/>
          <w:szCs w:val="24"/>
        </w:rPr>
      </w:pPr>
      <w:r>
        <w:rPr>
          <w:rFonts w:hint="eastAsia" w:ascii="宋体" w:hAnsi="宋体" w:eastAsia="宋体" w:cs="宋体"/>
          <w:color w:val="000000"/>
          <w:sz w:val="24"/>
          <w:szCs w:val="24"/>
        </w:rPr>
        <w:t>用 户 名：gys+供应商代码</w:t>
      </w:r>
      <w:r>
        <w:rPr>
          <w:rFonts w:hint="eastAsia" w:ascii="宋体" w:hAnsi="宋体" w:eastAsia="宋体" w:cs="宋体"/>
          <w:color w:val="000000"/>
          <w:sz w:val="24"/>
          <w:szCs w:val="24"/>
          <w:highlight w:val="none"/>
        </w:rPr>
        <w:t>（</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5B29CD52">
      <w:pPr>
        <w:spacing w:line="360" w:lineRule="auto"/>
        <w:rPr>
          <w:rFonts w:ascii="宋体" w:hAnsi="宋体" w:eastAsia="宋体" w:cs="宋体"/>
          <w:sz w:val="24"/>
          <w:szCs w:val="24"/>
        </w:rPr>
      </w:pPr>
      <w:r>
        <w:rPr>
          <w:rFonts w:hint="eastAsia" w:ascii="宋体" w:hAnsi="宋体" w:eastAsia="宋体" w:cs="宋体"/>
          <w:color w:val="000000"/>
          <w:sz w:val="24"/>
          <w:szCs w:val="24"/>
        </w:rPr>
        <w:t>初始密码：scm@2022</w:t>
      </w:r>
    </w:p>
    <w:p w14:paraId="0224AABE">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1.供应商应标</w:t>
      </w:r>
    </w:p>
    <w:p w14:paraId="160FE9C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供应商应标</w:t>
      </w:r>
    </w:p>
    <w:p w14:paraId="39D800F0">
      <w:pPr>
        <w:spacing w:line="360" w:lineRule="auto"/>
        <w:rPr>
          <w:rFonts w:ascii="宋体" w:hAnsi="宋体" w:eastAsia="宋体" w:cs="宋体"/>
          <w:color w:val="000000"/>
          <w:sz w:val="24"/>
          <w:szCs w:val="24"/>
        </w:rPr>
      </w:pPr>
      <w:r>
        <w:rPr>
          <w:rFonts w:ascii="宋体" w:hAnsi="宋体" w:eastAsia="宋体" w:cs="宋体"/>
          <w:color w:val="000000"/>
          <w:sz w:val="24"/>
          <w:szCs w:val="24"/>
        </w:rPr>
        <w:t>点击应标，上传文件之后点击提交。</w:t>
      </w:r>
    </w:p>
    <w:p w14:paraId="192809BF">
      <w:r>
        <w:drawing>
          <wp:inline distT="0" distB="0" distL="0" distR="0">
            <wp:extent cx="5760085" cy="2269490"/>
            <wp:effectExtent l="0" t="0" r="12065" b="16510"/>
            <wp:docPr id="15" name="picture" descr="descript"/>
            <wp:cNvGraphicFramePr/>
            <a:graphic xmlns:a="http://schemas.openxmlformats.org/drawingml/2006/main">
              <a:graphicData uri="http://schemas.openxmlformats.org/drawingml/2006/picture">
                <pic:pic xmlns:pic="http://schemas.openxmlformats.org/drawingml/2006/picture">
                  <pic:nvPicPr>
                    <pic:cNvPr id="15" name="picture" descr="descript"/>
                    <pic:cNvPicPr/>
                  </pic:nvPicPr>
                  <pic:blipFill>
                    <a:blip r:embed="rId25" cstate="print"/>
                    <a:srcRect/>
                    <a:stretch>
                      <a:fillRect/>
                    </a:stretch>
                  </pic:blipFill>
                  <pic:spPr>
                    <a:xfrm>
                      <a:off x="0" y="0"/>
                      <a:ext cx="5760085" cy="2269490"/>
                    </a:xfrm>
                    <a:prstGeom prst="rect">
                      <a:avLst/>
                    </a:prstGeom>
                  </pic:spPr>
                </pic:pic>
              </a:graphicData>
            </a:graphic>
          </wp:inline>
        </w:drawing>
      </w:r>
    </w:p>
    <w:p w14:paraId="7F5F97E1">
      <w:pPr>
        <w:pStyle w:val="7"/>
      </w:pPr>
    </w:p>
    <w:p w14:paraId="44F04E35">
      <w:pPr>
        <w:pStyle w:val="7"/>
      </w:pPr>
      <w:r>
        <w:rPr>
          <w:rFonts w:hint="eastAsia" w:cs="Times New Roman"/>
          <w:b/>
          <w:bCs/>
          <w:highlight w:val="none"/>
          <w:lang w:val="en-US" w:eastAsia="zh-CN"/>
        </w:rPr>
        <w:t>2、应标页面否为代理商请如实选择，若为代理商应标，请在应标后联系商务联系人</w:t>
      </w:r>
    </w:p>
    <w:p w14:paraId="253C2BE3"/>
    <w:p w14:paraId="4049123D">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2.供应商投标</w:t>
      </w:r>
    </w:p>
    <w:p w14:paraId="7A173815">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供应商投标</w:t>
      </w:r>
    </w:p>
    <w:p w14:paraId="2833D22F">
      <w:pPr>
        <w:rPr>
          <w:rFonts w:ascii="宋体" w:hAnsi="宋体" w:eastAsia="宋体" w:cs="宋体"/>
          <w:color w:val="000000"/>
        </w:rPr>
      </w:pPr>
      <w:r>
        <w:rPr>
          <w:rFonts w:ascii="宋体" w:hAnsi="宋体" w:eastAsia="宋体" w:cs="宋体"/>
          <w:color w:val="000000"/>
        </w:rPr>
        <w:drawing>
          <wp:inline distT="0" distB="0" distL="0" distR="0">
            <wp:extent cx="5760085" cy="2125345"/>
            <wp:effectExtent l="0" t="0" r="12065" b="8255"/>
            <wp:docPr id="1033" name="picture" descr="descript"/>
            <wp:cNvGraphicFramePr/>
            <a:graphic xmlns:a="http://schemas.openxmlformats.org/drawingml/2006/main">
              <a:graphicData uri="http://schemas.openxmlformats.org/drawingml/2006/picture">
                <pic:pic xmlns:pic="http://schemas.openxmlformats.org/drawingml/2006/picture">
                  <pic:nvPicPr>
                    <pic:cNvPr id="1033" name="picture" descr="descript"/>
                    <pic:cNvPicPr/>
                  </pic:nvPicPr>
                  <pic:blipFill>
                    <a:blip r:embed="rId26" cstate="print"/>
                    <a:srcRect/>
                    <a:stretch>
                      <a:fillRect/>
                    </a:stretch>
                  </pic:blipFill>
                  <pic:spPr>
                    <a:xfrm>
                      <a:off x="0" y="0"/>
                      <a:ext cx="5760085" cy="2125345"/>
                    </a:xfrm>
                    <a:prstGeom prst="rect">
                      <a:avLst/>
                    </a:prstGeom>
                  </pic:spPr>
                </pic:pic>
              </a:graphicData>
            </a:graphic>
          </wp:inline>
        </w:drawing>
      </w:r>
    </w:p>
    <w:p w14:paraId="6B3098E6">
      <w:pPr>
        <w:spacing w:line="360" w:lineRule="auto"/>
        <w:rPr>
          <w:rFonts w:ascii="宋体" w:hAnsi="宋体" w:eastAsia="宋体" w:cs="宋体"/>
          <w:color w:val="000000"/>
          <w:sz w:val="24"/>
          <w:szCs w:val="28"/>
        </w:rPr>
      </w:pPr>
      <w:r>
        <w:rPr>
          <w:rFonts w:ascii="宋体" w:hAnsi="宋体" w:eastAsia="宋体" w:cs="宋体"/>
          <w:color w:val="000000"/>
          <w:sz w:val="24"/>
          <w:szCs w:val="28"/>
        </w:rPr>
        <w:t>点击投标按钮，进入详情页，输入投标报价并上传相应的附件。</w:t>
      </w:r>
    </w:p>
    <w:p w14:paraId="4AE5A03E">
      <w:pPr>
        <w:pStyle w:val="7"/>
        <w:rPr>
          <w:rFonts w:hint="eastAsia" w:eastAsia="宋体"/>
          <w:lang w:eastAsia="zh-CN"/>
        </w:rPr>
      </w:pPr>
      <w:r>
        <w:rPr>
          <w:rFonts w:hint="eastAsia" w:hAnsi="宋体" w:eastAsia="宋体" w:cs="宋体"/>
          <w:b/>
          <w:bCs/>
          <w:color w:val="000000"/>
          <w:sz w:val="24"/>
          <w:szCs w:val="28"/>
          <w:highlight w:val="yellow"/>
        </w:rPr>
        <w:t>注意：系统内的投标报价单位为“万元”，如开标现场发现填错报价，即直接淘汰</w:t>
      </w:r>
      <w:r>
        <w:rPr>
          <w:rFonts w:hint="eastAsia" w:hAnsi="宋体" w:eastAsia="宋体" w:cs="宋体"/>
          <w:b/>
          <w:bCs/>
          <w:color w:val="000000"/>
          <w:sz w:val="24"/>
          <w:szCs w:val="28"/>
          <w:highlight w:val="yellow"/>
          <w:lang w:eastAsia="zh-CN"/>
        </w:rPr>
        <w:t>。</w:t>
      </w:r>
    </w:p>
    <w:p w14:paraId="2D8BBF64">
      <w:pPr>
        <w:ind w:left="425" w:hanging="425"/>
        <w:outlineLvl w:val="9"/>
        <w:rPr>
          <w:rFonts w:eastAsia="Arial" w:cs="Arial"/>
          <w:color w:val="000000"/>
        </w:rPr>
      </w:pPr>
      <w:r>
        <w:rPr>
          <w:rFonts w:eastAsia="Arial" w:cs="Arial"/>
          <w:color w:val="000000"/>
        </w:rPr>
        <w:drawing>
          <wp:inline distT="0" distB="0" distL="0" distR="0">
            <wp:extent cx="5490210" cy="2668905"/>
            <wp:effectExtent l="0" t="0" r="15240" b="17145"/>
            <wp:docPr id="1034" name="picture" descr="descript"/>
            <wp:cNvGraphicFramePr/>
            <a:graphic xmlns:a="http://schemas.openxmlformats.org/drawingml/2006/main">
              <a:graphicData uri="http://schemas.openxmlformats.org/drawingml/2006/picture">
                <pic:pic xmlns:pic="http://schemas.openxmlformats.org/drawingml/2006/picture">
                  <pic:nvPicPr>
                    <pic:cNvPr id="1034" name="picture" descr="descript"/>
                    <pic:cNvPicPr/>
                  </pic:nvPicPr>
                  <pic:blipFill>
                    <a:blip r:embed="rId27" cstate="print"/>
                    <a:srcRect/>
                    <a:stretch>
                      <a:fillRect/>
                    </a:stretch>
                  </pic:blipFill>
                  <pic:spPr>
                    <a:xfrm>
                      <a:off x="0" y="0"/>
                      <a:ext cx="5490210" cy="2668905"/>
                    </a:xfrm>
                    <a:prstGeom prst="rect">
                      <a:avLst/>
                    </a:prstGeom>
                  </pic:spPr>
                </pic:pic>
              </a:graphicData>
            </a:graphic>
          </wp:inline>
        </w:drawing>
      </w:r>
    </w:p>
    <w:p w14:paraId="5FC6BCBB">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3.供应商技术标澄清函</w:t>
      </w:r>
    </w:p>
    <w:p w14:paraId="7260FDDB">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供应商技术标澄清函</w:t>
      </w:r>
    </w:p>
    <w:p w14:paraId="684113DA">
      <w:pPr>
        <w:spacing w:line="360" w:lineRule="auto"/>
        <w:rPr>
          <w:rFonts w:ascii="宋体" w:hAnsi="宋体" w:eastAsia="宋体" w:cs="宋体"/>
          <w:sz w:val="24"/>
          <w:szCs w:val="24"/>
        </w:rPr>
      </w:pPr>
      <w:r>
        <w:rPr>
          <w:rFonts w:ascii="宋体" w:hAnsi="宋体" w:eastAsia="宋体" w:cs="宋体"/>
          <w:color w:val="000000"/>
          <w:sz w:val="24"/>
          <w:szCs w:val="24"/>
        </w:rPr>
        <w:t>点击编辑按钮进入系统，上传技术标澄清函。</w:t>
      </w:r>
    </w:p>
    <w:p w14:paraId="5B91C314">
      <w:pPr>
        <w:spacing w:line="360" w:lineRule="auto"/>
        <w:rPr>
          <w:rFonts w:ascii="Arial" w:hAnsi="Arial" w:eastAsia="Arial" w:cs="Arial"/>
          <w:color w:val="000000"/>
          <w:sz w:val="28"/>
        </w:rPr>
      </w:pPr>
      <w:r>
        <w:rPr>
          <w:rFonts w:ascii="宋体" w:hAnsi="宋体" w:eastAsia="宋体" w:cs="宋体"/>
          <w:color w:val="000000"/>
          <w:sz w:val="24"/>
          <w:szCs w:val="24"/>
        </w:rPr>
        <w:t>开标之后所有投标的供应商都可编辑提交，技术标入围之后</w:t>
      </w:r>
      <w:r>
        <w:rPr>
          <w:rFonts w:hint="eastAsia" w:ascii="宋体" w:hAnsi="宋体" w:eastAsia="宋体" w:cs="宋体"/>
          <w:color w:val="000000"/>
          <w:sz w:val="24"/>
          <w:szCs w:val="24"/>
        </w:rPr>
        <w:t xml:space="preserve"> </w:t>
      </w:r>
      <w:r>
        <w:rPr>
          <w:rFonts w:ascii="宋体" w:hAnsi="宋体" w:eastAsia="宋体" w:cs="宋体"/>
          <w:color w:val="000000"/>
          <w:sz w:val="24"/>
          <w:szCs w:val="24"/>
        </w:rPr>
        <w:t>都不可编辑</w:t>
      </w:r>
      <w:r>
        <w:rPr>
          <w:rFonts w:ascii="Arial" w:hAnsi="Arial" w:eastAsia="Arial" w:cs="Arial"/>
          <w:color w:val="000000"/>
          <w:sz w:val="28"/>
        </w:rPr>
        <w:drawing>
          <wp:inline distT="0" distB="0" distL="0" distR="0">
            <wp:extent cx="5490210" cy="1991995"/>
            <wp:effectExtent l="0" t="0" r="15240" b="8255"/>
            <wp:docPr id="1035" name="picture" descr="descript"/>
            <wp:cNvGraphicFramePr/>
            <a:graphic xmlns:a="http://schemas.openxmlformats.org/drawingml/2006/main">
              <a:graphicData uri="http://schemas.openxmlformats.org/drawingml/2006/picture">
                <pic:pic xmlns:pic="http://schemas.openxmlformats.org/drawingml/2006/picture">
                  <pic:nvPicPr>
                    <pic:cNvPr id="1035" name="picture" descr="descript"/>
                    <pic:cNvPicPr/>
                  </pic:nvPicPr>
                  <pic:blipFill>
                    <a:blip r:embed="rId28" cstate="print"/>
                    <a:srcRect/>
                    <a:stretch>
                      <a:fillRect/>
                    </a:stretch>
                  </pic:blipFill>
                  <pic:spPr>
                    <a:xfrm>
                      <a:off x="0" y="0"/>
                      <a:ext cx="5490210" cy="1992629"/>
                    </a:xfrm>
                    <a:prstGeom prst="rect">
                      <a:avLst/>
                    </a:prstGeom>
                  </pic:spPr>
                </pic:pic>
              </a:graphicData>
            </a:graphic>
          </wp:inline>
        </w:drawing>
      </w:r>
    </w:p>
    <w:p w14:paraId="626AAE05">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4.供应商报价</w:t>
      </w:r>
    </w:p>
    <w:p w14:paraId="21B0F8D9">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供应商报价</w:t>
      </w:r>
    </w:p>
    <w:p w14:paraId="1028E20B">
      <w:pPr>
        <w:spacing w:line="360" w:lineRule="auto"/>
        <w:rPr>
          <w:rFonts w:ascii="宋体" w:hAnsi="宋体" w:eastAsia="宋体" w:cs="宋体"/>
          <w:sz w:val="24"/>
          <w:szCs w:val="24"/>
        </w:rPr>
      </w:pPr>
      <w:r>
        <w:rPr>
          <w:rFonts w:ascii="宋体" w:hAnsi="宋体" w:eastAsia="宋体" w:cs="宋体"/>
          <w:color w:val="000000"/>
          <w:sz w:val="24"/>
          <w:szCs w:val="24"/>
        </w:rPr>
        <w:t>点击报价按钮进入报价详情界面，请在此轮报价起止时间内报价，否则无法报价。</w:t>
      </w:r>
    </w:p>
    <w:p w14:paraId="09445834">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5.供应商澄清报价</w:t>
      </w:r>
    </w:p>
    <w:p w14:paraId="6C35D624">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供应商澄清报价</w:t>
      </w:r>
    </w:p>
    <w:p w14:paraId="124B52E9">
      <w:pPr>
        <w:spacing w:line="360" w:lineRule="auto"/>
        <w:rPr>
          <w:rFonts w:ascii="宋体" w:hAnsi="宋体" w:eastAsia="宋体" w:cs="宋体"/>
          <w:sz w:val="24"/>
          <w:szCs w:val="24"/>
        </w:rPr>
      </w:pPr>
      <w:r>
        <w:rPr>
          <w:rFonts w:ascii="宋体" w:hAnsi="宋体" w:eastAsia="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01529799">
      <w:pPr>
        <w:ind w:left="425" w:hanging="425"/>
        <w:outlineLvl w:val="9"/>
        <w:rPr>
          <w:rFonts w:eastAsia="Arial" w:cs="Arial"/>
          <w:color w:val="000000"/>
        </w:rPr>
      </w:pPr>
      <w:r>
        <w:rPr>
          <w:rFonts w:eastAsia="Arial" w:cs="Arial"/>
          <w:color w:val="000000"/>
        </w:rPr>
        <w:drawing>
          <wp:inline distT="0" distB="0" distL="0" distR="0">
            <wp:extent cx="5490210" cy="2544445"/>
            <wp:effectExtent l="0" t="0" r="15240" b="8255"/>
            <wp:docPr id="1036" name="picture" descr="descript"/>
            <wp:cNvGraphicFramePr/>
            <a:graphic xmlns:a="http://schemas.openxmlformats.org/drawingml/2006/main">
              <a:graphicData uri="http://schemas.openxmlformats.org/drawingml/2006/picture">
                <pic:pic xmlns:pic="http://schemas.openxmlformats.org/drawingml/2006/picture">
                  <pic:nvPicPr>
                    <pic:cNvPr id="1036" name="picture" descr="descript"/>
                    <pic:cNvPicPr/>
                  </pic:nvPicPr>
                  <pic:blipFill>
                    <a:blip r:embed="rId29" cstate="print"/>
                    <a:srcRect/>
                    <a:stretch>
                      <a:fillRect/>
                    </a:stretch>
                  </pic:blipFill>
                  <pic:spPr>
                    <a:xfrm>
                      <a:off x="0" y="0"/>
                      <a:ext cx="5490210" cy="2544445"/>
                    </a:xfrm>
                    <a:prstGeom prst="rect">
                      <a:avLst/>
                    </a:prstGeom>
                  </pic:spPr>
                </pic:pic>
              </a:graphicData>
            </a:graphic>
          </wp:inline>
        </w:drawing>
      </w:r>
    </w:p>
    <w:p w14:paraId="352E2EEF">
      <w:pPr>
        <w:spacing w:line="360" w:lineRule="auto"/>
        <w:rPr>
          <w:rFonts w:ascii="宋体" w:hAnsi="宋体" w:eastAsia="宋体" w:cs="宋体"/>
          <w:b/>
          <w:bCs/>
          <w:color w:val="000000"/>
          <w:sz w:val="24"/>
          <w:szCs w:val="24"/>
        </w:rPr>
      </w:pPr>
      <w:r>
        <w:rPr>
          <w:rFonts w:hint="eastAsia" w:ascii="宋体" w:hAnsi="宋体" w:eastAsia="宋体" w:cs="宋体"/>
          <w:b/>
          <w:bCs/>
          <w:color w:val="000000"/>
          <w:sz w:val="24"/>
          <w:szCs w:val="24"/>
        </w:rPr>
        <w:t>6.供应商查看中标通知</w:t>
      </w:r>
    </w:p>
    <w:p w14:paraId="0845FFE3">
      <w:pPr>
        <w:spacing w:line="360" w:lineRule="auto"/>
        <w:rPr>
          <w:rFonts w:ascii="宋体" w:hAnsi="宋体" w:eastAsia="宋体" w:cs="宋体"/>
          <w:sz w:val="24"/>
          <w:szCs w:val="24"/>
        </w:rPr>
      </w:pPr>
      <w:r>
        <w:rPr>
          <w:rFonts w:ascii="宋体" w:hAnsi="宋体" w:eastAsia="宋体" w:cs="宋体"/>
          <w:color w:val="000000"/>
          <w:sz w:val="24"/>
          <w:szCs w:val="24"/>
        </w:rPr>
        <w:t>路径：招投标中心</w:t>
      </w:r>
      <w:r>
        <w:rPr>
          <w:rFonts w:hint="eastAsia" w:ascii="宋体" w:hAnsi="宋体" w:eastAsia="宋体" w:cs="宋体"/>
          <w:color w:val="000000"/>
          <w:sz w:val="24"/>
          <w:szCs w:val="24"/>
        </w:rPr>
        <w:t>-</w:t>
      </w:r>
      <w:r>
        <w:rPr>
          <w:rFonts w:ascii="宋体" w:hAnsi="宋体" w:eastAsia="宋体" w:cs="宋体"/>
          <w:color w:val="000000"/>
          <w:sz w:val="24"/>
          <w:szCs w:val="24"/>
        </w:rPr>
        <w:t>非生产类招投标</w:t>
      </w:r>
      <w:r>
        <w:rPr>
          <w:rFonts w:hint="eastAsia" w:ascii="宋体" w:hAnsi="宋体" w:eastAsia="宋体" w:cs="宋体"/>
          <w:color w:val="000000"/>
          <w:sz w:val="24"/>
          <w:szCs w:val="24"/>
        </w:rPr>
        <w:t>-</w:t>
      </w:r>
      <w:r>
        <w:rPr>
          <w:rFonts w:ascii="宋体" w:hAnsi="宋体" w:eastAsia="宋体" w:cs="宋体"/>
          <w:color w:val="000000"/>
          <w:sz w:val="24"/>
          <w:szCs w:val="24"/>
        </w:rPr>
        <w:t>中标项目</w:t>
      </w:r>
    </w:p>
    <w:p w14:paraId="6902E253">
      <w:pPr>
        <w:spacing w:line="360" w:lineRule="auto"/>
        <w:rPr>
          <w:rFonts w:ascii="宋体" w:hAnsi="宋体" w:eastAsia="宋体" w:cs="宋体"/>
          <w:sz w:val="24"/>
          <w:szCs w:val="24"/>
        </w:rPr>
      </w:pPr>
      <w:r>
        <w:rPr>
          <w:rFonts w:ascii="宋体" w:hAnsi="宋体" w:eastAsia="宋体" w:cs="宋体"/>
          <w:color w:val="000000"/>
          <w:sz w:val="24"/>
          <w:szCs w:val="24"/>
        </w:rPr>
        <w:t>点击查看进入查看中标项目详情</w:t>
      </w:r>
    </w:p>
    <w:p w14:paraId="3B6CE40E">
      <w:r>
        <w:drawing>
          <wp:inline distT="0" distB="0" distL="0" distR="0">
            <wp:extent cx="5760085" cy="1956435"/>
            <wp:effectExtent l="0" t="0" r="12065" b="5715"/>
            <wp:docPr id="1037" name="picture" descr="descript"/>
            <wp:cNvGraphicFramePr/>
            <a:graphic xmlns:a="http://schemas.openxmlformats.org/drawingml/2006/main">
              <a:graphicData uri="http://schemas.openxmlformats.org/drawingml/2006/picture">
                <pic:pic xmlns:pic="http://schemas.openxmlformats.org/drawingml/2006/picture">
                  <pic:nvPicPr>
                    <pic:cNvPr id="1037" name="picture" descr="descript"/>
                    <pic:cNvPicPr/>
                  </pic:nvPicPr>
                  <pic:blipFill>
                    <a:blip r:embed="rId30" cstate="print"/>
                    <a:srcRect/>
                    <a:stretch>
                      <a:fillRect/>
                    </a:stretch>
                  </pic:blipFill>
                  <pic:spPr>
                    <a:xfrm>
                      <a:off x="0" y="0"/>
                      <a:ext cx="5760085" cy="1956435"/>
                    </a:xfrm>
                    <a:prstGeom prst="rect">
                      <a:avLst/>
                    </a:prstGeom>
                  </pic:spPr>
                </pic:pic>
              </a:graphicData>
            </a:graphic>
          </wp:inline>
        </w:drawing>
      </w:r>
    </w:p>
    <w:p w14:paraId="5456A993">
      <w:pPr>
        <w:pStyle w:val="7"/>
        <w:rPr>
          <w:rFonts w:hAnsi="宋体" w:eastAsia="宋体" w:cs="Times New Roman"/>
          <w:b/>
          <w:color w:val="000000"/>
          <w:sz w:val="24"/>
          <w:szCs w:val="24"/>
        </w:rPr>
      </w:pPr>
    </w:p>
    <w:p w14:paraId="428D0957">
      <w:pPr>
        <w:pStyle w:val="7"/>
        <w:rPr>
          <w:rFonts w:hAnsi="宋体" w:eastAsia="宋体" w:cs="Times New Roman"/>
          <w:b/>
          <w:color w:val="000000"/>
          <w:sz w:val="24"/>
          <w:szCs w:val="24"/>
        </w:rPr>
      </w:pPr>
    </w:p>
    <w:p w14:paraId="66308F9E">
      <w:pPr>
        <w:pStyle w:val="21"/>
        <w:rPr>
          <w:rFonts w:hint="default" w:hAnsi="宋体"/>
          <w:sz w:val="24"/>
          <w:lang w:val="en-US"/>
        </w:rPr>
      </w:pPr>
    </w:p>
    <w:p w14:paraId="321D2F29">
      <w:pPr>
        <w:pStyle w:val="2"/>
      </w:pPr>
    </w:p>
    <w:sectPr>
      <w:footerReference r:id="rId15" w:type="first"/>
      <w:headerReference r:id="rId12" w:type="default"/>
      <w:footerReference r:id="rId13" w:type="default"/>
      <w:footerReference r:id="rId14" w:type="even"/>
      <w:pgSz w:w="11907" w:h="16840"/>
      <w:pgMar w:top="1587" w:right="1418" w:bottom="1418" w:left="1418" w:header="724" w:footer="851" w:gutter="0"/>
      <w:pgNumType w:fmt="decimal"/>
      <w:cols w:space="720" w:num="1"/>
      <w:docGrid w:linePitch="290" w:charSpace="-39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KSOF0B7949D1">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3344E">
    <w:pPr>
      <w:pStyle w:val="8"/>
      <w:tabs>
        <w:tab w:val="clear" w:pos="4153"/>
      </w:tabs>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FC53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B2FC53F">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623FC">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CAD6DC">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5CAD6DC">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8832">
    <w:pPr>
      <w:pStyle w:val="8"/>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F6F516">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EF6F516">
                    <w:pPr>
                      <w:pStyle w:val="8"/>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F4658">
    <w:pPr>
      <w:spacing w:line="179" w:lineRule="auto"/>
      <w:ind w:left="6868"/>
      <w:rPr>
        <w:rFonts w:ascii="宋体" w:hAnsi="宋体" w:eastAsia="宋体" w:cs="宋体"/>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8A7981">
                          <w:pPr>
                            <w:pStyle w:val="8"/>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0F8A7981">
                    <w:pPr>
                      <w:pStyle w:val="8"/>
                    </w:pPr>
                    <w:r>
                      <w:t xml:space="preserve">第 </w:t>
                    </w:r>
                    <w:r>
                      <w:fldChar w:fldCharType="begin"/>
                    </w:r>
                    <w:r>
                      <w:instrText xml:space="preserve"> PAGE  \* MERGEFORMAT </w:instrText>
                    </w:r>
                    <w:r>
                      <w:fldChar w:fldCharType="separate"/>
                    </w:r>
                    <w:r>
                      <w:t>25</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81572B">
                          <w:pPr>
                            <w:pStyle w:val="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181572B">
                    <w:pPr>
                      <w:pStyle w:val="8"/>
                    </w:pPr>
                    <w:r>
                      <w:t xml:space="preserve">第 </w:t>
                    </w:r>
                    <w:r>
                      <w:fldChar w:fldCharType="begin"/>
                    </w:r>
                    <w:r>
                      <w:instrText xml:space="preserve"> PAGE  \* MERGEFORMAT </w:instrText>
                    </w:r>
                    <w:r>
                      <w:fldChar w:fldCharType="separate"/>
                    </w:r>
                    <w:r>
                      <w:t>28</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5DE4B">
    <w:pPr>
      <w:pStyle w:val="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11717">
                          <w:pPr>
                            <w:pStyle w:val="8"/>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6BD11717">
                    <w:pPr>
                      <w:pStyle w:val="8"/>
                    </w:pPr>
                    <w:r>
                      <w:t xml:space="preserve">第 </w:t>
                    </w:r>
                    <w:r>
                      <w:fldChar w:fldCharType="begin"/>
                    </w:r>
                    <w:r>
                      <w:instrText xml:space="preserve"> PAGE  \* MERGEFORMAT </w:instrText>
                    </w:r>
                    <w:r>
                      <w:fldChar w:fldCharType="separate"/>
                    </w:r>
                    <w:r>
                      <w:t>27</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D7A7A">
    <w:pPr>
      <w:pStyle w:val="8"/>
      <w:rPr>
        <w:rFonts w:hint="eastAsia"/>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9AD1B5">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4E9AD1B5">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34</w:t>
                    </w:r>
                    <w:r>
                      <w:fldChar w:fldCharType="end"/>
                    </w:r>
                    <w:r>
                      <w:t xml:space="preserve"> 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A91145">
                          <w:pPr>
                            <w:rPr>
                              <w:rFonts w:hint="default"/>
                              <w:lang w:val="en-US"/>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4BA91145">
                    <w:pPr>
                      <w:rPr>
                        <w:rFonts w:hint="default"/>
                        <w:lang w:val="en-US"/>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33BE0">
    <w:pPr>
      <w:pStyle w:val="8"/>
      <w:framePr w:wrap="around" w:vAnchor="text" w:hAnchor="margin" w:xAlign="center" w:y="1"/>
      <w:rPr>
        <w:rStyle w:val="17"/>
      </w:rPr>
    </w:pPr>
    <w:r>
      <w:fldChar w:fldCharType="begin"/>
    </w:r>
    <w:r>
      <w:rPr>
        <w:rStyle w:val="17"/>
      </w:rPr>
      <w:instrText xml:space="preserve">PAGE  </w:instrText>
    </w:r>
    <w:r>
      <w:fldChar w:fldCharType="end"/>
    </w:r>
  </w:p>
  <w:p w14:paraId="5EBBDCED">
    <w:pPr>
      <w:pStyle w:val="8"/>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74AC55">
    <w:pPr>
      <w:pStyle w:val="8"/>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B14739">
                          <w:pPr>
                            <w:pStyle w:val="8"/>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8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14:paraId="46B14739">
                    <w:pPr>
                      <w:pStyle w:val="8"/>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8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A4CE">
    <w:pPr>
      <w:pStyle w:val="9"/>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9"/>
    </w:pPr>
  </w:p>
  <w:p w14:paraId="75DC59E1">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D39094">
    <w:pPr>
      <w:pStyle w:val="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3C17E6">
    <w:pPr>
      <w:pStyle w:val="9"/>
      <w:rPr>
        <w:rFonts w:hint="eastAsia" w:ascii="楷体_GB2312" w:eastAsia="楷体_GB2312"/>
        <w:sz w:val="28"/>
        <w:szCs w:val="28"/>
      </w:rPr>
    </w:pPr>
    <w:r>
      <w:drawing>
        <wp:anchor distT="0" distB="0" distL="114300" distR="114300" simplePos="0" relativeHeight="251659264" behindDoc="0" locked="0" layoutInCell="1" allowOverlap="1">
          <wp:simplePos x="0" y="0"/>
          <wp:positionH relativeFrom="column">
            <wp:posOffset>-205105</wp:posOffset>
          </wp:positionH>
          <wp:positionV relativeFrom="paragraph">
            <wp:posOffset>-218440</wp:posOffset>
          </wp:positionV>
          <wp:extent cx="1257300" cy="398145"/>
          <wp:effectExtent l="0" t="0" r="0" b="1905"/>
          <wp:wrapSquare wrapText="bothSides"/>
          <wp:docPr id="7"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025"/>
                  <pic:cNvPicPr>
                    <a:picLocks noChangeAspect="1"/>
                  </pic:cNvPicPr>
                </pic:nvPicPr>
                <pic:blipFill>
                  <a:blip r:embed="rId1"/>
                  <a:stretch>
                    <a:fillRect/>
                  </a:stretch>
                </pic:blipFill>
                <pic:spPr>
                  <a:xfrm>
                    <a:off x="0" y="0"/>
                    <a:ext cx="1257300" cy="398145"/>
                  </a:xfrm>
                  <a:prstGeom prst="rect">
                    <a:avLst/>
                  </a:prstGeom>
                  <a:solidFill>
                    <a:srgbClr val="FFCC99"/>
                  </a:solidFill>
                  <a:ln>
                    <a:noFill/>
                  </a:ln>
                </pic:spPr>
              </pic:pic>
            </a:graphicData>
          </a:graphic>
        </wp:anchor>
      </w:drawing>
    </w:r>
    <w:r>
      <w:rPr>
        <w:rFonts w:hint="eastAsia"/>
      </w:rPr>
      <w:t>　　　　　　　　　　　　　　　　　　　　　　　　　　　　　　　　　　</w:t>
    </w:r>
    <w:r>
      <w:rPr>
        <w:rFonts w:hint="eastAsia" w:ascii="楷体_GB2312" w:eastAsia="楷体_GB2312"/>
      </w:rPr>
      <w:t>　　</w:t>
    </w:r>
    <w:r>
      <w:rPr>
        <w:rFonts w:hint="eastAsia" w:ascii="楷体_GB2312" w:eastAsia="楷体_GB2312"/>
        <w:sz w:val="28"/>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19E2BD"/>
    <w:multiLevelType w:val="singleLevel"/>
    <w:tmpl w:val="B019E2BD"/>
    <w:lvl w:ilvl="0" w:tentative="0">
      <w:start w:val="3"/>
      <w:numFmt w:val="chineseCounting"/>
      <w:suff w:val="space"/>
      <w:lvlText w:val="第%1章"/>
      <w:lvlJc w:val="left"/>
      <w:rPr>
        <w:rFonts w:hint="eastAsia"/>
      </w:rPr>
    </w:lvl>
  </w:abstractNum>
  <w:abstractNum w:abstractNumId="1">
    <w:nsid w:val="B12C4597"/>
    <w:multiLevelType w:val="singleLevel"/>
    <w:tmpl w:val="B12C4597"/>
    <w:lvl w:ilvl="0" w:tentative="0">
      <w:start w:val="1"/>
      <w:numFmt w:val="decimal"/>
      <w:lvlText w:val="%1."/>
      <w:lvlJc w:val="left"/>
      <w:pPr>
        <w:ind w:left="425" w:hanging="425"/>
      </w:pPr>
      <w:rPr>
        <w:rFonts w:hint="default"/>
        <w:highlight w:val="none"/>
      </w:rPr>
    </w:lvl>
  </w:abstractNum>
  <w:abstractNum w:abstractNumId="2">
    <w:nsid w:val="BA9A4576"/>
    <w:multiLevelType w:val="singleLevel"/>
    <w:tmpl w:val="BA9A4576"/>
    <w:lvl w:ilvl="0" w:tentative="0">
      <w:start w:val="6"/>
      <w:numFmt w:val="chineseCounting"/>
      <w:suff w:val="nothing"/>
      <w:lvlText w:val="%1、"/>
      <w:lvlJc w:val="left"/>
      <w:rPr>
        <w:rFonts w:hint="eastAsia"/>
      </w:rPr>
    </w:lvl>
  </w:abstractNum>
  <w:abstractNum w:abstractNumId="3">
    <w:nsid w:val="BD7F6246"/>
    <w:multiLevelType w:val="singleLevel"/>
    <w:tmpl w:val="BD7F6246"/>
    <w:lvl w:ilvl="0" w:tentative="0">
      <w:start w:val="6"/>
      <w:numFmt w:val="decimal"/>
      <w:suff w:val="nothing"/>
      <w:lvlText w:val="%1、"/>
      <w:lvlJc w:val="left"/>
    </w:lvl>
  </w:abstractNum>
  <w:abstractNum w:abstractNumId="4">
    <w:nsid w:val="EE9B7FC4"/>
    <w:multiLevelType w:val="singleLevel"/>
    <w:tmpl w:val="EE9B7FC4"/>
    <w:lvl w:ilvl="0" w:tentative="0">
      <w:start w:val="2"/>
      <w:numFmt w:val="chineseCounting"/>
      <w:suff w:val="nothing"/>
      <w:lvlText w:val="%1、"/>
      <w:lvlJc w:val="left"/>
      <w:rPr>
        <w:rFonts w:hint="eastAsia"/>
      </w:rPr>
    </w:lvl>
  </w:abstractNum>
  <w:abstractNum w:abstractNumId="5">
    <w:nsid w:val="F54BF83F"/>
    <w:multiLevelType w:val="singleLevel"/>
    <w:tmpl w:val="F54BF83F"/>
    <w:lvl w:ilvl="0" w:tentative="0">
      <w:start w:val="1"/>
      <w:numFmt w:val="decimal"/>
      <w:suff w:val="space"/>
      <w:lvlText w:val="%1."/>
      <w:lvlJc w:val="left"/>
      <w:pPr>
        <w:ind w:left="0" w:firstLine="0"/>
      </w:pPr>
    </w:lvl>
  </w:abstractNum>
  <w:abstractNum w:abstractNumId="6">
    <w:nsid w:val="FE574647"/>
    <w:multiLevelType w:val="multilevel"/>
    <w:tmpl w:val="FE574647"/>
    <w:lvl w:ilvl="0" w:tentative="0">
      <w:start w:val="1"/>
      <w:numFmt w:val="bullet"/>
      <w:lvlText w:val=""/>
      <w:lvlJc w:val="left"/>
      <w:pPr>
        <w:tabs>
          <w:tab w:val="left" w:pos="-840"/>
        </w:tabs>
        <w:ind w:left="430" w:hanging="420"/>
      </w:pPr>
      <w:rPr>
        <w:rFonts w:hint="default" w:ascii="Wingdings" w:hAnsi="Wingdings"/>
      </w:rPr>
    </w:lvl>
    <w:lvl w:ilvl="1" w:tentative="0">
      <w:start w:val="1"/>
      <w:numFmt w:val="bullet"/>
      <w:lvlText w:val=""/>
      <w:lvlJc w:val="left"/>
      <w:pPr>
        <w:tabs>
          <w:tab w:val="left" w:pos="-840"/>
        </w:tabs>
        <w:ind w:left="850" w:hanging="420"/>
      </w:pPr>
      <w:rPr>
        <w:rFonts w:hint="default" w:ascii="Wingdings" w:hAnsi="Wingdings"/>
      </w:rPr>
    </w:lvl>
    <w:lvl w:ilvl="2" w:tentative="0">
      <w:start w:val="1"/>
      <w:numFmt w:val="bullet"/>
      <w:lvlText w:val=""/>
      <w:lvlJc w:val="left"/>
      <w:pPr>
        <w:tabs>
          <w:tab w:val="left" w:pos="-840"/>
        </w:tabs>
        <w:ind w:left="1270" w:hanging="420"/>
      </w:pPr>
      <w:rPr>
        <w:rFonts w:hint="default" w:ascii="Wingdings" w:hAnsi="Wingdings"/>
      </w:rPr>
    </w:lvl>
    <w:lvl w:ilvl="3" w:tentative="0">
      <w:start w:val="1"/>
      <w:numFmt w:val="bullet"/>
      <w:lvlText w:val=""/>
      <w:lvlJc w:val="left"/>
      <w:pPr>
        <w:tabs>
          <w:tab w:val="left" w:pos="-840"/>
        </w:tabs>
        <w:ind w:left="1690" w:hanging="420"/>
      </w:pPr>
      <w:rPr>
        <w:rFonts w:hint="default" w:ascii="Wingdings" w:hAnsi="Wingdings"/>
      </w:rPr>
    </w:lvl>
    <w:lvl w:ilvl="4" w:tentative="0">
      <w:start w:val="1"/>
      <w:numFmt w:val="bullet"/>
      <w:lvlText w:val=""/>
      <w:lvlJc w:val="left"/>
      <w:pPr>
        <w:tabs>
          <w:tab w:val="left" w:pos="-840"/>
        </w:tabs>
        <w:ind w:left="2110" w:hanging="420"/>
      </w:pPr>
      <w:rPr>
        <w:rFonts w:hint="default" w:ascii="Wingdings" w:hAnsi="Wingdings"/>
      </w:rPr>
    </w:lvl>
    <w:lvl w:ilvl="5" w:tentative="0">
      <w:start w:val="1"/>
      <w:numFmt w:val="bullet"/>
      <w:lvlText w:val=""/>
      <w:lvlJc w:val="left"/>
      <w:pPr>
        <w:tabs>
          <w:tab w:val="left" w:pos="-840"/>
        </w:tabs>
        <w:ind w:left="2530" w:hanging="420"/>
      </w:pPr>
      <w:rPr>
        <w:rFonts w:hint="default" w:ascii="Wingdings" w:hAnsi="Wingdings"/>
      </w:rPr>
    </w:lvl>
    <w:lvl w:ilvl="6" w:tentative="0">
      <w:start w:val="1"/>
      <w:numFmt w:val="bullet"/>
      <w:lvlText w:val=""/>
      <w:lvlJc w:val="left"/>
      <w:pPr>
        <w:tabs>
          <w:tab w:val="left" w:pos="-840"/>
        </w:tabs>
        <w:ind w:left="2950" w:hanging="420"/>
      </w:pPr>
      <w:rPr>
        <w:rFonts w:hint="default" w:ascii="Wingdings" w:hAnsi="Wingdings"/>
      </w:rPr>
    </w:lvl>
    <w:lvl w:ilvl="7" w:tentative="0">
      <w:start w:val="1"/>
      <w:numFmt w:val="bullet"/>
      <w:lvlText w:val=""/>
      <w:lvlJc w:val="left"/>
      <w:pPr>
        <w:tabs>
          <w:tab w:val="left" w:pos="-840"/>
        </w:tabs>
        <w:ind w:left="3370" w:hanging="420"/>
      </w:pPr>
      <w:rPr>
        <w:rFonts w:hint="default" w:ascii="Wingdings" w:hAnsi="Wingdings"/>
      </w:rPr>
    </w:lvl>
    <w:lvl w:ilvl="8" w:tentative="0">
      <w:start w:val="1"/>
      <w:numFmt w:val="bullet"/>
      <w:lvlText w:val=""/>
      <w:lvlJc w:val="left"/>
      <w:pPr>
        <w:tabs>
          <w:tab w:val="left" w:pos="-840"/>
        </w:tabs>
        <w:ind w:left="3790" w:hanging="420"/>
      </w:pPr>
      <w:rPr>
        <w:rFonts w:hint="default" w:ascii="Wingdings" w:hAnsi="Wingdings"/>
      </w:rPr>
    </w:lvl>
  </w:abstractNum>
  <w:abstractNum w:abstractNumId="7">
    <w:nsid w:val="00000003"/>
    <w:multiLevelType w:val="singleLevel"/>
    <w:tmpl w:val="00000003"/>
    <w:lvl w:ilvl="0" w:tentative="0">
      <w:start w:val="5"/>
      <w:numFmt w:val="decimal"/>
      <w:lvlText w:val="%1."/>
      <w:lvlJc w:val="left"/>
      <w:pPr>
        <w:tabs>
          <w:tab w:val="left" w:pos="312"/>
        </w:tabs>
      </w:pPr>
    </w:lvl>
  </w:abstractNum>
  <w:abstractNum w:abstractNumId="8">
    <w:nsid w:val="4AF0723E"/>
    <w:multiLevelType w:val="singleLevel"/>
    <w:tmpl w:val="4AF0723E"/>
    <w:lvl w:ilvl="0" w:tentative="0">
      <w:start w:val="2"/>
      <w:numFmt w:val="chineseCounting"/>
      <w:suff w:val="nothing"/>
      <w:lvlText w:val="%1、"/>
      <w:lvlJc w:val="left"/>
      <w:rPr>
        <w:rFonts w:hint="eastAsia"/>
      </w:rPr>
    </w:lvl>
  </w:abstractNum>
  <w:abstractNum w:abstractNumId="9">
    <w:nsid w:val="5692D7BA"/>
    <w:multiLevelType w:val="singleLevel"/>
    <w:tmpl w:val="5692D7BA"/>
    <w:lvl w:ilvl="0" w:tentative="0">
      <w:start w:val="2"/>
      <w:numFmt w:val="decimal"/>
      <w:suff w:val="nothing"/>
      <w:lvlText w:val="%1、"/>
      <w:lvlJc w:val="left"/>
    </w:lvl>
  </w:abstractNum>
  <w:abstractNum w:abstractNumId="10">
    <w:nsid w:val="56D20133"/>
    <w:multiLevelType w:val="multilevel"/>
    <w:tmpl w:val="56D20133"/>
    <w:lvl w:ilvl="0" w:tentative="0">
      <w:start w:val="1"/>
      <w:numFmt w:val="chineseCountingThousand"/>
      <w:pStyle w:val="77"/>
      <w:lvlText w:val="(%1)"/>
      <w:lvlJc w:val="left"/>
      <w:pPr>
        <w:ind w:left="1130" w:hanging="420"/>
      </w:pPr>
      <w:rPr>
        <w:rFonts w:hint="eastAsia"/>
        <w:b/>
      </w:rPr>
    </w:lvl>
    <w:lvl w:ilvl="1" w:tentative="0">
      <w:start w:val="1"/>
      <w:numFmt w:val="decimal"/>
      <w:lvlText w:val="%2."/>
      <w:lvlJc w:val="left"/>
      <w:pPr>
        <w:ind w:left="1200" w:hanging="360"/>
      </w:pPr>
      <w:rPr>
        <w:rFonts w:hint="default"/>
        <w:b w:val="0"/>
      </w:rPr>
    </w:lvl>
    <w:lvl w:ilvl="2" w:tentative="0">
      <w:start w:val="1"/>
      <w:numFmt w:val="lowerRoman"/>
      <w:lvlText w:val="%3."/>
      <w:lvlJc w:val="right"/>
      <w:pPr>
        <w:ind w:left="1680" w:hanging="420"/>
      </w:pPr>
      <w:rPr>
        <w:rFonts w:hint="eastAsia"/>
      </w:rPr>
    </w:lvl>
    <w:lvl w:ilvl="3" w:tentative="0">
      <w:start w:val="1"/>
      <w:numFmt w:val="decimal"/>
      <w:lvlText w:val="（%4）"/>
      <w:lvlJc w:val="left"/>
      <w:pPr>
        <w:ind w:left="2400" w:hanging="720"/>
      </w:pPr>
      <w:rPr>
        <w:rFonts w:hint="default"/>
      </w:rPr>
    </w:lvl>
    <w:lvl w:ilvl="4" w:tentative="0">
      <w:start w:val="1"/>
      <w:numFmt w:val="lowerLetter"/>
      <w:lvlText w:val="%5)"/>
      <w:lvlJc w:val="left"/>
      <w:pPr>
        <w:ind w:left="2520" w:hanging="420"/>
      </w:pPr>
      <w:rPr>
        <w:rFonts w:hint="eastAsia"/>
      </w:rPr>
    </w:lvl>
    <w:lvl w:ilvl="5" w:tentative="0">
      <w:start w:val="1"/>
      <w:numFmt w:val="lowerRoman"/>
      <w:lvlText w:val="%6."/>
      <w:lvlJc w:val="right"/>
      <w:pPr>
        <w:ind w:left="2940" w:hanging="420"/>
      </w:pPr>
      <w:rPr>
        <w:rFonts w:hint="eastAsia"/>
      </w:rPr>
    </w:lvl>
    <w:lvl w:ilvl="6" w:tentative="0">
      <w:start w:val="1"/>
      <w:numFmt w:val="decimal"/>
      <w:lvlText w:val="%7."/>
      <w:lvlJc w:val="left"/>
      <w:pPr>
        <w:ind w:left="3360" w:hanging="420"/>
      </w:pPr>
      <w:rPr>
        <w:rFonts w:hint="eastAsia"/>
      </w:rPr>
    </w:lvl>
    <w:lvl w:ilvl="7" w:tentative="0">
      <w:start w:val="1"/>
      <w:numFmt w:val="lowerLetter"/>
      <w:lvlText w:val="%8)"/>
      <w:lvlJc w:val="left"/>
      <w:pPr>
        <w:ind w:left="3780" w:hanging="420"/>
      </w:pPr>
      <w:rPr>
        <w:rFonts w:hint="eastAsia"/>
      </w:rPr>
    </w:lvl>
    <w:lvl w:ilvl="8" w:tentative="0">
      <w:start w:val="1"/>
      <w:numFmt w:val="lowerRoman"/>
      <w:lvlText w:val="%9."/>
      <w:lvlJc w:val="right"/>
      <w:pPr>
        <w:ind w:left="4200" w:hanging="420"/>
      </w:pPr>
      <w:rPr>
        <w:rFonts w:hint="eastAsia"/>
      </w:rPr>
    </w:lvl>
  </w:abstractNum>
  <w:abstractNum w:abstractNumId="11">
    <w:nsid w:val="656A6EAE"/>
    <w:multiLevelType w:val="multilevel"/>
    <w:tmpl w:val="656A6EAE"/>
    <w:lvl w:ilvl="0" w:tentative="0">
      <w:start w:val="1"/>
      <w:numFmt w:val="chineseCountingThousand"/>
      <w:pStyle w:val="20"/>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2">
    <w:nsid w:val="70EB3FAA"/>
    <w:multiLevelType w:val="singleLevel"/>
    <w:tmpl w:val="70EB3FAA"/>
    <w:lvl w:ilvl="0" w:tentative="0">
      <w:start w:val="1"/>
      <w:numFmt w:val="decimal"/>
      <w:lvlText w:val="%1."/>
      <w:lvlJc w:val="left"/>
      <w:pPr>
        <w:ind w:left="425" w:hanging="425"/>
      </w:pPr>
      <w:rPr>
        <w:rFonts w:hint="default"/>
      </w:rPr>
    </w:lvl>
  </w:abstractNum>
  <w:num w:numId="1">
    <w:abstractNumId w:val="11"/>
  </w:num>
  <w:num w:numId="2">
    <w:abstractNumId w:val="10"/>
  </w:num>
  <w:num w:numId="3">
    <w:abstractNumId w:val="9"/>
  </w:num>
  <w:num w:numId="4">
    <w:abstractNumId w:val="12"/>
  </w:num>
  <w:num w:numId="5">
    <w:abstractNumId w:val="1"/>
  </w:num>
  <w:num w:numId="6">
    <w:abstractNumId w:val="3"/>
  </w:num>
  <w:num w:numId="7">
    <w:abstractNumId w:val="6"/>
  </w:num>
  <w:num w:numId="8">
    <w:abstractNumId w:val="0"/>
  </w:num>
  <w:num w:numId="9">
    <w:abstractNumId w:val="4"/>
  </w:num>
  <w:num w:numId="10">
    <w:abstractNumId w:val="2"/>
  </w:num>
  <w:num w:numId="11">
    <w:abstractNumId w:val="7"/>
  </w:num>
  <w:num w:numId="12">
    <w:abstractNumId w:val="5"/>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0YTViYjUyMjA3NDdjNDFjY2ZjZWYwYmZhZmI2YTEifQ=="/>
  </w:docVars>
  <w:rsids>
    <w:rsidRoot w:val="50367907"/>
    <w:rsid w:val="00213CF6"/>
    <w:rsid w:val="00784799"/>
    <w:rsid w:val="00F27441"/>
    <w:rsid w:val="012478C3"/>
    <w:rsid w:val="015679D0"/>
    <w:rsid w:val="01EE5E5A"/>
    <w:rsid w:val="02427F54"/>
    <w:rsid w:val="03B27F9E"/>
    <w:rsid w:val="040645B1"/>
    <w:rsid w:val="04275653"/>
    <w:rsid w:val="0462668B"/>
    <w:rsid w:val="05720B50"/>
    <w:rsid w:val="05850883"/>
    <w:rsid w:val="05FE0636"/>
    <w:rsid w:val="0754675F"/>
    <w:rsid w:val="07660241"/>
    <w:rsid w:val="07AB0349"/>
    <w:rsid w:val="09727371"/>
    <w:rsid w:val="09AE43B9"/>
    <w:rsid w:val="0A256191"/>
    <w:rsid w:val="0A434869"/>
    <w:rsid w:val="0B3F1FB8"/>
    <w:rsid w:val="0BC33EB3"/>
    <w:rsid w:val="0BF347E8"/>
    <w:rsid w:val="0CC021A1"/>
    <w:rsid w:val="0D083FB4"/>
    <w:rsid w:val="0D5A377C"/>
    <w:rsid w:val="0DCF4A41"/>
    <w:rsid w:val="0E347FDD"/>
    <w:rsid w:val="0EE7610B"/>
    <w:rsid w:val="0EFE3455"/>
    <w:rsid w:val="0F010326"/>
    <w:rsid w:val="0F946D68"/>
    <w:rsid w:val="0FB104C7"/>
    <w:rsid w:val="103F3D25"/>
    <w:rsid w:val="10991687"/>
    <w:rsid w:val="11286567"/>
    <w:rsid w:val="1147185D"/>
    <w:rsid w:val="115B2DE0"/>
    <w:rsid w:val="118B27F3"/>
    <w:rsid w:val="119A3908"/>
    <w:rsid w:val="121E1ADF"/>
    <w:rsid w:val="125515DD"/>
    <w:rsid w:val="12C276B1"/>
    <w:rsid w:val="12DD37BE"/>
    <w:rsid w:val="136E6A2E"/>
    <w:rsid w:val="139D4FEA"/>
    <w:rsid w:val="13E57888"/>
    <w:rsid w:val="1517661E"/>
    <w:rsid w:val="15657D89"/>
    <w:rsid w:val="16C44F84"/>
    <w:rsid w:val="16D76A65"/>
    <w:rsid w:val="16EA2C3C"/>
    <w:rsid w:val="17032A46"/>
    <w:rsid w:val="17726840"/>
    <w:rsid w:val="17BA0860"/>
    <w:rsid w:val="18C4121B"/>
    <w:rsid w:val="193A152D"/>
    <w:rsid w:val="19444B5F"/>
    <w:rsid w:val="19722A75"/>
    <w:rsid w:val="19CE23A1"/>
    <w:rsid w:val="19FE3D53"/>
    <w:rsid w:val="1A134258"/>
    <w:rsid w:val="1CAA49F8"/>
    <w:rsid w:val="1CBE2546"/>
    <w:rsid w:val="1D623FD6"/>
    <w:rsid w:val="1E1E766F"/>
    <w:rsid w:val="1F8A033E"/>
    <w:rsid w:val="1F9625E7"/>
    <w:rsid w:val="20664F99"/>
    <w:rsid w:val="20801F1B"/>
    <w:rsid w:val="215B7B93"/>
    <w:rsid w:val="21B93937"/>
    <w:rsid w:val="220D5A31"/>
    <w:rsid w:val="22160D89"/>
    <w:rsid w:val="23244DE0"/>
    <w:rsid w:val="235B27CC"/>
    <w:rsid w:val="23714228"/>
    <w:rsid w:val="23CB7951"/>
    <w:rsid w:val="23E9442E"/>
    <w:rsid w:val="24093BD0"/>
    <w:rsid w:val="24694FDB"/>
    <w:rsid w:val="24D665AE"/>
    <w:rsid w:val="259C2031"/>
    <w:rsid w:val="25A5657F"/>
    <w:rsid w:val="26C07516"/>
    <w:rsid w:val="27035654"/>
    <w:rsid w:val="272A0AD1"/>
    <w:rsid w:val="280E0B21"/>
    <w:rsid w:val="287560DE"/>
    <w:rsid w:val="29C76E0D"/>
    <w:rsid w:val="2A1132FB"/>
    <w:rsid w:val="2A2D4EC2"/>
    <w:rsid w:val="2A5103CA"/>
    <w:rsid w:val="2A895E70"/>
    <w:rsid w:val="2AAD6003"/>
    <w:rsid w:val="2ACB0237"/>
    <w:rsid w:val="2B2E2E69"/>
    <w:rsid w:val="2B6366C1"/>
    <w:rsid w:val="2B8925CC"/>
    <w:rsid w:val="2C3818FC"/>
    <w:rsid w:val="2CA94430"/>
    <w:rsid w:val="2CDA6E57"/>
    <w:rsid w:val="2D236108"/>
    <w:rsid w:val="2D50441C"/>
    <w:rsid w:val="2D962D7E"/>
    <w:rsid w:val="2E026666"/>
    <w:rsid w:val="2F61560E"/>
    <w:rsid w:val="2FCB6462"/>
    <w:rsid w:val="2FF47BED"/>
    <w:rsid w:val="308E2433"/>
    <w:rsid w:val="30F027A5"/>
    <w:rsid w:val="31DD5420"/>
    <w:rsid w:val="326E4A43"/>
    <w:rsid w:val="32BA306B"/>
    <w:rsid w:val="331D199C"/>
    <w:rsid w:val="341E587B"/>
    <w:rsid w:val="34E73EBF"/>
    <w:rsid w:val="35E0728C"/>
    <w:rsid w:val="36B67FED"/>
    <w:rsid w:val="36EA1AA7"/>
    <w:rsid w:val="370451FC"/>
    <w:rsid w:val="373A29CC"/>
    <w:rsid w:val="37C2651C"/>
    <w:rsid w:val="382A0C93"/>
    <w:rsid w:val="38523D46"/>
    <w:rsid w:val="387651EF"/>
    <w:rsid w:val="39A20CFD"/>
    <w:rsid w:val="39A71E6F"/>
    <w:rsid w:val="39FB4A80"/>
    <w:rsid w:val="3A033549"/>
    <w:rsid w:val="3A4E4604"/>
    <w:rsid w:val="3AEA4709"/>
    <w:rsid w:val="3B365BA1"/>
    <w:rsid w:val="3B4756B8"/>
    <w:rsid w:val="3BC1546A"/>
    <w:rsid w:val="3C4D6CFE"/>
    <w:rsid w:val="3CCF1E09"/>
    <w:rsid w:val="3D8B21D4"/>
    <w:rsid w:val="3EA44022"/>
    <w:rsid w:val="3F144495"/>
    <w:rsid w:val="3F760C61"/>
    <w:rsid w:val="3F863274"/>
    <w:rsid w:val="3FE61943"/>
    <w:rsid w:val="3FF322B2"/>
    <w:rsid w:val="40EC18A8"/>
    <w:rsid w:val="413E5F45"/>
    <w:rsid w:val="414D154E"/>
    <w:rsid w:val="41656898"/>
    <w:rsid w:val="41962EF5"/>
    <w:rsid w:val="41AC44C7"/>
    <w:rsid w:val="42141C1A"/>
    <w:rsid w:val="423A5F76"/>
    <w:rsid w:val="42D54FED"/>
    <w:rsid w:val="434B5F61"/>
    <w:rsid w:val="439416B6"/>
    <w:rsid w:val="43F54DA9"/>
    <w:rsid w:val="44A27E03"/>
    <w:rsid w:val="455138A3"/>
    <w:rsid w:val="45A35BE1"/>
    <w:rsid w:val="45CD0EAF"/>
    <w:rsid w:val="47000FF9"/>
    <w:rsid w:val="47BC567F"/>
    <w:rsid w:val="49CA5E32"/>
    <w:rsid w:val="4C325F10"/>
    <w:rsid w:val="4C432784"/>
    <w:rsid w:val="4CDA761C"/>
    <w:rsid w:val="4D6F029E"/>
    <w:rsid w:val="4D996326"/>
    <w:rsid w:val="4DCE7A77"/>
    <w:rsid w:val="4E2964A4"/>
    <w:rsid w:val="4E832A53"/>
    <w:rsid w:val="4F732AC8"/>
    <w:rsid w:val="4FC926E8"/>
    <w:rsid w:val="50367907"/>
    <w:rsid w:val="507029B3"/>
    <w:rsid w:val="50A72271"/>
    <w:rsid w:val="512A365A"/>
    <w:rsid w:val="51300A07"/>
    <w:rsid w:val="517C731C"/>
    <w:rsid w:val="529714D0"/>
    <w:rsid w:val="52A66D10"/>
    <w:rsid w:val="52EA12F3"/>
    <w:rsid w:val="53226CDE"/>
    <w:rsid w:val="53277100"/>
    <w:rsid w:val="53934391"/>
    <w:rsid w:val="5435659E"/>
    <w:rsid w:val="54AC5973"/>
    <w:rsid w:val="54B35E4E"/>
    <w:rsid w:val="5663112E"/>
    <w:rsid w:val="569021B1"/>
    <w:rsid w:val="575E405D"/>
    <w:rsid w:val="57B65C47"/>
    <w:rsid w:val="57B8376D"/>
    <w:rsid w:val="57D936E4"/>
    <w:rsid w:val="57EF1159"/>
    <w:rsid w:val="59280444"/>
    <w:rsid w:val="5AA708CA"/>
    <w:rsid w:val="5BDF6DA3"/>
    <w:rsid w:val="5CDF79EE"/>
    <w:rsid w:val="5D465377"/>
    <w:rsid w:val="5D4E06D0"/>
    <w:rsid w:val="5D973E25"/>
    <w:rsid w:val="5DC50992"/>
    <w:rsid w:val="5DD159D8"/>
    <w:rsid w:val="5DDE1A77"/>
    <w:rsid w:val="5E2F405E"/>
    <w:rsid w:val="5E3873B6"/>
    <w:rsid w:val="5E7A77F1"/>
    <w:rsid w:val="5EA031AD"/>
    <w:rsid w:val="60EE1FAE"/>
    <w:rsid w:val="611A2DA3"/>
    <w:rsid w:val="616B0B5C"/>
    <w:rsid w:val="619568CD"/>
    <w:rsid w:val="61EA1238"/>
    <w:rsid w:val="6200321C"/>
    <w:rsid w:val="62051CA5"/>
    <w:rsid w:val="621C2B4B"/>
    <w:rsid w:val="625A0F68"/>
    <w:rsid w:val="63293771"/>
    <w:rsid w:val="63343EC4"/>
    <w:rsid w:val="63B41E9C"/>
    <w:rsid w:val="63C70946"/>
    <w:rsid w:val="646F3406"/>
    <w:rsid w:val="64BA4740"/>
    <w:rsid w:val="64E01C52"/>
    <w:rsid w:val="654E019A"/>
    <w:rsid w:val="654F3237"/>
    <w:rsid w:val="657A633E"/>
    <w:rsid w:val="658F7EFB"/>
    <w:rsid w:val="65CE4EFC"/>
    <w:rsid w:val="661F2C0A"/>
    <w:rsid w:val="66650F64"/>
    <w:rsid w:val="666D1BC7"/>
    <w:rsid w:val="67874F0A"/>
    <w:rsid w:val="683F57E5"/>
    <w:rsid w:val="6874548F"/>
    <w:rsid w:val="68993147"/>
    <w:rsid w:val="689B09AB"/>
    <w:rsid w:val="68EB3A39"/>
    <w:rsid w:val="68EB3DB7"/>
    <w:rsid w:val="69467F49"/>
    <w:rsid w:val="696A60B8"/>
    <w:rsid w:val="696A6892"/>
    <w:rsid w:val="6B3E3B32"/>
    <w:rsid w:val="6B480E55"/>
    <w:rsid w:val="6B6C68F1"/>
    <w:rsid w:val="6B822971"/>
    <w:rsid w:val="6C35284A"/>
    <w:rsid w:val="6C7749C2"/>
    <w:rsid w:val="6CC91FF4"/>
    <w:rsid w:val="6E2711F5"/>
    <w:rsid w:val="6F6532C9"/>
    <w:rsid w:val="6FA81EC2"/>
    <w:rsid w:val="6FAA3E8C"/>
    <w:rsid w:val="70407F78"/>
    <w:rsid w:val="70B34FC2"/>
    <w:rsid w:val="715611F3"/>
    <w:rsid w:val="71F633B8"/>
    <w:rsid w:val="7298621E"/>
    <w:rsid w:val="72E01973"/>
    <w:rsid w:val="72F74E03"/>
    <w:rsid w:val="73C10F66"/>
    <w:rsid w:val="73C53042"/>
    <w:rsid w:val="73DE4104"/>
    <w:rsid w:val="73F77193"/>
    <w:rsid w:val="73FD2E3F"/>
    <w:rsid w:val="7416564C"/>
    <w:rsid w:val="745B39A7"/>
    <w:rsid w:val="7476258E"/>
    <w:rsid w:val="74CC6652"/>
    <w:rsid w:val="74F945A2"/>
    <w:rsid w:val="75AC3A76"/>
    <w:rsid w:val="75E654F2"/>
    <w:rsid w:val="761B163F"/>
    <w:rsid w:val="76515061"/>
    <w:rsid w:val="770E0474"/>
    <w:rsid w:val="77437B39"/>
    <w:rsid w:val="77EB3293"/>
    <w:rsid w:val="78063C29"/>
    <w:rsid w:val="797E7695"/>
    <w:rsid w:val="7A6B246A"/>
    <w:rsid w:val="7B7B048A"/>
    <w:rsid w:val="7B8A691F"/>
    <w:rsid w:val="7BBA065E"/>
    <w:rsid w:val="7C215870"/>
    <w:rsid w:val="7D0F17D2"/>
    <w:rsid w:val="7D507164"/>
    <w:rsid w:val="7DA168CE"/>
    <w:rsid w:val="7DC720AD"/>
    <w:rsid w:val="7E464D80"/>
    <w:rsid w:val="7E7F64E4"/>
    <w:rsid w:val="7F547970"/>
    <w:rsid w:val="7FC44AF6"/>
    <w:rsid w:val="7FFA4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semiHidden/>
    <w:qFormat/>
    <w:uiPriority w:val="0"/>
    <w:pPr>
      <w:keepNext/>
      <w:keepLines/>
      <w:spacing w:line="416" w:lineRule="auto"/>
      <w:outlineLvl w:val="2"/>
    </w:pPr>
    <w:rPr>
      <w:b/>
      <w:bCs/>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index 6"/>
    <w:basedOn w:val="1"/>
    <w:next w:val="1"/>
    <w:qFormat/>
    <w:uiPriority w:val="0"/>
    <w:rPr>
      <w:rFonts w:ascii="宋体" w:hAnsi="宋体"/>
      <w:color w:val="000000" w:themeColor="text1"/>
      <w:sz w:val="20"/>
      <w:szCs w:val="20"/>
      <w14:textFill>
        <w14:solidFill>
          <w14:schemeClr w14:val="tx1"/>
        </w14:solidFill>
      </w14:textFill>
    </w:rPr>
  </w:style>
  <w:style w:type="paragraph" w:styleId="5">
    <w:name w:val="Body Text"/>
    <w:basedOn w:val="1"/>
    <w:next w:val="6"/>
    <w:qFormat/>
    <w:uiPriority w:val="0"/>
    <w:rPr>
      <w:rFonts w:ascii="仿宋_GB2312" w:eastAsia="仿宋_GB2312"/>
      <w:sz w:val="32"/>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Plain Text"/>
    <w:basedOn w:val="1"/>
    <w:qFormat/>
    <w:uiPriority w:val="0"/>
    <w:rPr>
      <w:rFonts w:ascii="宋体" w:hAnsi="Courier New"/>
    </w:r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semiHidden/>
    <w:qFormat/>
    <w:uiPriority w:val="0"/>
    <w:pPr>
      <w:tabs>
        <w:tab w:val="right" w:leader="dot" w:pos="8729"/>
      </w:tabs>
      <w:spacing w:line="480" w:lineRule="auto"/>
      <w:jc w:val="left"/>
    </w:pPr>
    <w:rPr>
      <w:rFonts w:ascii="宋体" w:hAnsi="宋体"/>
      <w:b/>
      <w:caps/>
      <w:sz w:val="28"/>
      <w:szCs w:val="28"/>
    </w:rPr>
  </w:style>
  <w:style w:type="paragraph" w:styleId="11">
    <w:name w:val="List"/>
    <w:basedOn w:val="1"/>
    <w:qFormat/>
    <w:uiPriority w:val="0"/>
    <w:pPr>
      <w:ind w:left="200" w:hanging="200" w:hangingChars="200"/>
    </w:p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3">
    <w:name w:val="Title"/>
    <w:basedOn w:val="1"/>
    <w:next w:val="1"/>
    <w:qFormat/>
    <w:uiPriority w:val="0"/>
    <w:pPr>
      <w:spacing w:before="240" w:after="60"/>
      <w:jc w:val="center"/>
      <w:outlineLvl w:val="0"/>
    </w:pPr>
    <w:rPr>
      <w:rFonts w:ascii="Cambria" w:hAnsi="Cambria"/>
      <w:b/>
      <w:bCs/>
      <w:sz w:val="32"/>
      <w:szCs w:val="32"/>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basedOn w:val="16"/>
    <w:semiHidden/>
    <w:qFormat/>
    <w:uiPriority w:val="99"/>
    <w:rPr>
      <w:rFonts w:cs="Times New Roman"/>
      <w:color w:val="1F4F88"/>
      <w:u w:val="none"/>
    </w:rPr>
  </w:style>
  <w:style w:type="paragraph" w:styleId="19">
    <w:name w:val="List Paragraph"/>
    <w:basedOn w:val="1"/>
    <w:qFormat/>
    <w:uiPriority w:val="99"/>
    <w:pPr>
      <w:ind w:firstLine="420" w:firstLineChars="200"/>
    </w:pPr>
  </w:style>
  <w:style w:type="paragraph" w:customStyle="1" w:styleId="20">
    <w:name w:val="一级标题"/>
    <w:basedOn w:val="7"/>
    <w:qFormat/>
    <w:uiPriority w:val="1"/>
    <w:pPr>
      <w:numPr>
        <w:ilvl w:val="0"/>
        <w:numId w:val="1"/>
      </w:numPr>
      <w:spacing w:line="360" w:lineRule="auto"/>
      <w:ind w:left="420"/>
      <w:outlineLvl w:val="1"/>
    </w:pPr>
    <w:rPr>
      <w:rFonts w:ascii="黑体" w:eastAsia="黑体"/>
      <w:b/>
      <w:bCs/>
      <w:sz w:val="28"/>
    </w:rPr>
  </w:style>
  <w:style w:type="paragraph" w:customStyle="1" w:styleId="21">
    <w:name w:val="标书正文"/>
    <w:basedOn w:val="7"/>
    <w:qFormat/>
    <w:uiPriority w:val="9"/>
    <w:pPr>
      <w:spacing w:line="360" w:lineRule="auto"/>
      <w:jc w:val="left"/>
    </w:pPr>
  </w:style>
  <w:style w:type="paragraph" w:customStyle="1" w:styleId="22">
    <w:name w:val="标书正文格式"/>
    <w:basedOn w:val="7"/>
    <w:qFormat/>
    <w:uiPriority w:val="0"/>
    <w:pPr>
      <w:spacing w:line="360" w:lineRule="auto"/>
      <w:ind w:firstLine="200" w:firstLineChars="200"/>
    </w:pPr>
    <w:rPr>
      <w:rFonts w:hAnsi="宋体" w:eastAsiaTheme="minorEastAsia"/>
      <w:color w:val="000000"/>
      <w:sz w:val="24"/>
      <w:szCs w:val="24"/>
    </w:rPr>
  </w:style>
  <w:style w:type="paragraph" w:customStyle="1" w:styleId="23">
    <w:name w:val="Table Paragraph"/>
    <w:basedOn w:val="1"/>
    <w:autoRedefine/>
    <w:qFormat/>
    <w:uiPriority w:val="1"/>
    <w:rPr>
      <w:rFonts w:ascii="宋体" w:hAnsi="宋体" w:eastAsia="宋体" w:cs="宋体"/>
    </w:rPr>
  </w:style>
  <w:style w:type="table" w:customStyle="1" w:styleId="24">
    <w:name w:val="Table Normal"/>
    <w:autoRedefine/>
    <w:qFormat/>
    <w:uiPriority w:val="0"/>
    <w:tblPr>
      <w:tblCellMar>
        <w:top w:w="0" w:type="dxa"/>
        <w:left w:w="0" w:type="dxa"/>
        <w:bottom w:w="0" w:type="dxa"/>
        <w:right w:w="0" w:type="dxa"/>
      </w:tblCellMar>
    </w:tblPr>
  </w:style>
  <w:style w:type="paragraph" w:customStyle="1" w:styleId="25">
    <w:name w:val="null22"/>
    <w:qFormat/>
    <w:uiPriority w:val="0"/>
    <w:rPr>
      <w:rFonts w:ascii="Times New Roman" w:hAnsi="Times New Roman" w:eastAsia="宋体" w:cs="Times New Roman"/>
      <w:szCs w:val="21"/>
      <w:lang w:val="en-US" w:eastAsia="zh-CN" w:bidi="ar-SA"/>
    </w:rPr>
  </w:style>
  <w:style w:type="paragraph" w:customStyle="1" w:styleId="26">
    <w:name w:val="null23"/>
    <w:qFormat/>
    <w:uiPriority w:val="0"/>
    <w:rPr>
      <w:rFonts w:ascii="Times New Roman" w:hAnsi="Times New Roman" w:eastAsia="宋体" w:cs="Times New Roman"/>
      <w:szCs w:val="21"/>
      <w:lang w:val="en-US" w:eastAsia="zh-CN" w:bidi="ar-SA"/>
    </w:rPr>
  </w:style>
  <w:style w:type="paragraph" w:customStyle="1" w:styleId="27">
    <w:name w:val="null24"/>
    <w:qFormat/>
    <w:uiPriority w:val="0"/>
    <w:rPr>
      <w:rFonts w:ascii="Times New Roman" w:hAnsi="Times New Roman" w:eastAsia="宋体" w:cs="Times New Roman"/>
      <w:szCs w:val="21"/>
      <w:lang w:val="en-US" w:eastAsia="zh-CN" w:bidi="ar-SA"/>
    </w:rPr>
  </w:style>
  <w:style w:type="paragraph" w:customStyle="1" w:styleId="28">
    <w:name w:val="null25"/>
    <w:qFormat/>
    <w:uiPriority w:val="0"/>
    <w:rPr>
      <w:rFonts w:ascii="Times New Roman" w:hAnsi="Times New Roman" w:eastAsia="宋体" w:cs="Times New Roman"/>
      <w:szCs w:val="21"/>
      <w:lang w:val="en-US" w:eastAsia="zh-CN" w:bidi="ar-SA"/>
    </w:rPr>
  </w:style>
  <w:style w:type="paragraph" w:customStyle="1" w:styleId="29">
    <w:name w:val="null26"/>
    <w:qFormat/>
    <w:uiPriority w:val="0"/>
    <w:rPr>
      <w:rFonts w:ascii="Times New Roman" w:hAnsi="Times New Roman" w:eastAsia="宋体" w:cs="Times New Roman"/>
      <w:szCs w:val="21"/>
      <w:lang w:val="en-US" w:eastAsia="zh-CN" w:bidi="ar-SA"/>
    </w:rPr>
  </w:style>
  <w:style w:type="paragraph" w:customStyle="1" w:styleId="30">
    <w:name w:val="null27"/>
    <w:qFormat/>
    <w:uiPriority w:val="0"/>
    <w:rPr>
      <w:rFonts w:ascii="Times New Roman" w:hAnsi="Times New Roman" w:eastAsia="宋体" w:cs="Times New Roman"/>
      <w:szCs w:val="21"/>
      <w:lang w:val="en-US" w:eastAsia="zh-CN" w:bidi="ar-SA"/>
    </w:rPr>
  </w:style>
  <w:style w:type="paragraph" w:customStyle="1" w:styleId="31">
    <w:name w:val="null28"/>
    <w:qFormat/>
    <w:uiPriority w:val="0"/>
    <w:rPr>
      <w:rFonts w:ascii="Times New Roman" w:hAnsi="Times New Roman" w:eastAsia="宋体" w:cs="Times New Roman"/>
      <w:szCs w:val="21"/>
      <w:lang w:val="en-US" w:eastAsia="zh-CN" w:bidi="ar-SA"/>
    </w:rPr>
  </w:style>
  <w:style w:type="paragraph" w:customStyle="1" w:styleId="32">
    <w:name w:val="null29"/>
    <w:qFormat/>
    <w:uiPriority w:val="0"/>
    <w:rPr>
      <w:rFonts w:ascii="Times New Roman" w:hAnsi="Times New Roman" w:eastAsia="宋体" w:cs="Times New Roman"/>
      <w:szCs w:val="21"/>
      <w:lang w:val="en-US" w:eastAsia="zh-CN" w:bidi="ar-SA"/>
    </w:rPr>
  </w:style>
  <w:style w:type="paragraph" w:customStyle="1" w:styleId="33">
    <w:name w:val="null30"/>
    <w:qFormat/>
    <w:uiPriority w:val="0"/>
    <w:rPr>
      <w:rFonts w:ascii="Times New Roman" w:hAnsi="Times New Roman" w:eastAsia="宋体" w:cs="Times New Roman"/>
      <w:szCs w:val="21"/>
      <w:lang w:val="en-US" w:eastAsia="zh-CN" w:bidi="ar-SA"/>
    </w:rPr>
  </w:style>
  <w:style w:type="paragraph" w:customStyle="1" w:styleId="34">
    <w:name w:val="null31"/>
    <w:qFormat/>
    <w:uiPriority w:val="0"/>
    <w:rPr>
      <w:rFonts w:ascii="Times New Roman" w:hAnsi="Times New Roman" w:eastAsia="宋体" w:cs="Times New Roman"/>
      <w:szCs w:val="21"/>
      <w:lang w:val="en-US" w:eastAsia="zh-CN" w:bidi="ar-SA"/>
    </w:rPr>
  </w:style>
  <w:style w:type="paragraph" w:customStyle="1" w:styleId="35">
    <w:name w:val="null32"/>
    <w:qFormat/>
    <w:uiPriority w:val="0"/>
    <w:rPr>
      <w:rFonts w:ascii="Times New Roman" w:hAnsi="Times New Roman" w:eastAsia="宋体" w:cs="Times New Roman"/>
      <w:szCs w:val="21"/>
      <w:lang w:val="en-US" w:eastAsia="zh-CN" w:bidi="ar-SA"/>
    </w:rPr>
  </w:style>
  <w:style w:type="paragraph" w:customStyle="1" w:styleId="36">
    <w:name w:val="null33"/>
    <w:qFormat/>
    <w:uiPriority w:val="0"/>
    <w:rPr>
      <w:rFonts w:ascii="Times New Roman" w:hAnsi="Times New Roman" w:eastAsia="宋体" w:cs="Times New Roman"/>
      <w:szCs w:val="21"/>
      <w:lang w:val="en-US" w:eastAsia="zh-CN" w:bidi="ar-SA"/>
    </w:rPr>
  </w:style>
  <w:style w:type="paragraph" w:customStyle="1" w:styleId="37">
    <w:name w:val="null34"/>
    <w:qFormat/>
    <w:uiPriority w:val="0"/>
    <w:rPr>
      <w:rFonts w:ascii="Times New Roman" w:hAnsi="Times New Roman" w:eastAsia="宋体" w:cs="Times New Roman"/>
      <w:szCs w:val="21"/>
      <w:lang w:val="en-US" w:eastAsia="zh-CN" w:bidi="ar-SA"/>
    </w:rPr>
  </w:style>
  <w:style w:type="paragraph" w:customStyle="1" w:styleId="38">
    <w:name w:val="null35"/>
    <w:qFormat/>
    <w:uiPriority w:val="0"/>
    <w:rPr>
      <w:rFonts w:ascii="Times New Roman" w:hAnsi="Times New Roman" w:eastAsia="宋体" w:cs="Times New Roman"/>
      <w:szCs w:val="21"/>
      <w:lang w:val="en-US" w:eastAsia="zh-CN" w:bidi="ar-SA"/>
    </w:rPr>
  </w:style>
  <w:style w:type="paragraph" w:customStyle="1" w:styleId="39">
    <w:name w:val="null36"/>
    <w:qFormat/>
    <w:uiPriority w:val="0"/>
    <w:rPr>
      <w:rFonts w:ascii="Times New Roman" w:hAnsi="Times New Roman" w:eastAsia="宋体" w:cs="Times New Roman"/>
      <w:szCs w:val="21"/>
      <w:lang w:val="en-US" w:eastAsia="zh-CN" w:bidi="ar-SA"/>
    </w:rPr>
  </w:style>
  <w:style w:type="paragraph" w:customStyle="1" w:styleId="40">
    <w:name w:val="null37"/>
    <w:qFormat/>
    <w:uiPriority w:val="0"/>
    <w:rPr>
      <w:rFonts w:ascii="Times New Roman" w:hAnsi="Times New Roman" w:eastAsia="宋体" w:cs="Times New Roman"/>
      <w:szCs w:val="21"/>
      <w:lang w:val="en-US" w:eastAsia="zh-CN" w:bidi="ar-SA"/>
    </w:rPr>
  </w:style>
  <w:style w:type="paragraph" w:customStyle="1" w:styleId="41">
    <w:name w:val="null38"/>
    <w:qFormat/>
    <w:uiPriority w:val="0"/>
    <w:rPr>
      <w:rFonts w:ascii="Times New Roman" w:hAnsi="Times New Roman" w:eastAsia="宋体" w:cs="Times New Roman"/>
      <w:szCs w:val="21"/>
      <w:lang w:val="en-US" w:eastAsia="zh-CN" w:bidi="ar-SA"/>
    </w:rPr>
  </w:style>
  <w:style w:type="paragraph" w:customStyle="1" w:styleId="42">
    <w:name w:val="null39"/>
    <w:qFormat/>
    <w:uiPriority w:val="0"/>
    <w:rPr>
      <w:rFonts w:ascii="Times New Roman" w:hAnsi="Times New Roman" w:eastAsia="宋体" w:cs="Times New Roman"/>
      <w:szCs w:val="21"/>
      <w:lang w:val="en-US" w:eastAsia="zh-CN" w:bidi="ar-SA"/>
    </w:rPr>
  </w:style>
  <w:style w:type="paragraph" w:customStyle="1" w:styleId="43">
    <w:name w:val="null40"/>
    <w:qFormat/>
    <w:uiPriority w:val="0"/>
    <w:rPr>
      <w:rFonts w:ascii="Times New Roman" w:hAnsi="Times New Roman" w:eastAsia="宋体" w:cs="Times New Roman"/>
      <w:szCs w:val="21"/>
      <w:lang w:val="en-US" w:eastAsia="zh-CN" w:bidi="ar-SA"/>
    </w:rPr>
  </w:style>
  <w:style w:type="paragraph" w:customStyle="1" w:styleId="44">
    <w:name w:val="null41"/>
    <w:qFormat/>
    <w:uiPriority w:val="0"/>
    <w:rPr>
      <w:rFonts w:ascii="Times New Roman" w:hAnsi="Times New Roman" w:eastAsia="宋体" w:cs="Times New Roman"/>
      <w:szCs w:val="21"/>
      <w:lang w:val="en-US" w:eastAsia="zh-CN" w:bidi="ar-SA"/>
    </w:rPr>
  </w:style>
  <w:style w:type="paragraph" w:customStyle="1" w:styleId="45">
    <w:name w:val="null42"/>
    <w:qFormat/>
    <w:uiPriority w:val="0"/>
    <w:rPr>
      <w:rFonts w:ascii="Times New Roman" w:hAnsi="Times New Roman" w:eastAsia="宋体" w:cs="Times New Roman"/>
      <w:szCs w:val="21"/>
      <w:lang w:val="en-US" w:eastAsia="zh-CN" w:bidi="ar-SA"/>
    </w:rPr>
  </w:style>
  <w:style w:type="paragraph" w:customStyle="1" w:styleId="46">
    <w:name w:val="null43"/>
    <w:qFormat/>
    <w:uiPriority w:val="0"/>
    <w:rPr>
      <w:rFonts w:ascii="Times New Roman" w:hAnsi="Times New Roman" w:eastAsia="宋体" w:cs="Times New Roman"/>
      <w:szCs w:val="21"/>
      <w:lang w:val="en-US" w:eastAsia="zh-CN" w:bidi="ar-SA"/>
    </w:rPr>
  </w:style>
  <w:style w:type="paragraph" w:customStyle="1" w:styleId="47">
    <w:name w:val="null44"/>
    <w:qFormat/>
    <w:uiPriority w:val="0"/>
    <w:rPr>
      <w:rFonts w:ascii="Times New Roman" w:hAnsi="Times New Roman" w:eastAsia="宋体" w:cs="Times New Roman"/>
      <w:szCs w:val="21"/>
      <w:lang w:val="en-US" w:eastAsia="zh-CN" w:bidi="ar-SA"/>
    </w:rPr>
  </w:style>
  <w:style w:type="paragraph" w:customStyle="1" w:styleId="48">
    <w:name w:val="null45"/>
    <w:qFormat/>
    <w:uiPriority w:val="0"/>
    <w:rPr>
      <w:rFonts w:ascii="Times New Roman" w:hAnsi="Times New Roman" w:eastAsia="宋体" w:cs="Times New Roman"/>
      <w:szCs w:val="21"/>
      <w:lang w:val="en-US" w:eastAsia="zh-CN" w:bidi="ar-SA"/>
    </w:rPr>
  </w:style>
  <w:style w:type="paragraph" w:customStyle="1" w:styleId="49">
    <w:name w:val="null46"/>
    <w:qFormat/>
    <w:uiPriority w:val="0"/>
    <w:rPr>
      <w:rFonts w:ascii="Times New Roman" w:hAnsi="Times New Roman" w:eastAsia="宋体" w:cs="Times New Roman"/>
      <w:szCs w:val="21"/>
      <w:lang w:val="en-US" w:eastAsia="zh-CN" w:bidi="ar-SA"/>
    </w:rPr>
  </w:style>
  <w:style w:type="paragraph" w:customStyle="1" w:styleId="50">
    <w:name w:val="null47"/>
    <w:qFormat/>
    <w:uiPriority w:val="0"/>
    <w:rPr>
      <w:rFonts w:ascii="Times New Roman" w:hAnsi="Times New Roman" w:eastAsia="宋体" w:cs="Times New Roman"/>
      <w:szCs w:val="21"/>
      <w:lang w:val="en-US" w:eastAsia="zh-CN" w:bidi="ar-SA"/>
    </w:rPr>
  </w:style>
  <w:style w:type="paragraph" w:customStyle="1" w:styleId="51">
    <w:name w:val="null48"/>
    <w:qFormat/>
    <w:uiPriority w:val="0"/>
    <w:rPr>
      <w:rFonts w:ascii="Times New Roman" w:hAnsi="Times New Roman" w:eastAsia="宋体" w:cs="Times New Roman"/>
      <w:szCs w:val="21"/>
      <w:lang w:val="en-US" w:eastAsia="zh-CN" w:bidi="ar-SA"/>
    </w:rPr>
  </w:style>
  <w:style w:type="paragraph" w:customStyle="1" w:styleId="52">
    <w:name w:val="null58"/>
    <w:qFormat/>
    <w:uiPriority w:val="0"/>
    <w:rPr>
      <w:rFonts w:ascii="Times New Roman" w:hAnsi="Times New Roman" w:eastAsia="宋体" w:cs="Times New Roman"/>
      <w:szCs w:val="21"/>
      <w:lang w:val="en-US" w:eastAsia="zh-CN" w:bidi="ar-SA"/>
    </w:rPr>
  </w:style>
  <w:style w:type="paragraph" w:customStyle="1" w:styleId="53">
    <w:name w:val="null59"/>
    <w:qFormat/>
    <w:uiPriority w:val="0"/>
    <w:rPr>
      <w:rFonts w:ascii="Times New Roman" w:hAnsi="Times New Roman" w:eastAsia="宋体" w:cs="Times New Roman"/>
      <w:szCs w:val="21"/>
      <w:lang w:val="en-US" w:eastAsia="zh-CN" w:bidi="ar-SA"/>
    </w:rPr>
  </w:style>
  <w:style w:type="paragraph" w:customStyle="1" w:styleId="54">
    <w:name w:val="null60"/>
    <w:qFormat/>
    <w:uiPriority w:val="0"/>
    <w:rPr>
      <w:rFonts w:ascii="Times New Roman" w:hAnsi="Times New Roman" w:eastAsia="宋体" w:cs="Times New Roman"/>
      <w:szCs w:val="21"/>
      <w:lang w:val="en-US" w:eastAsia="zh-CN" w:bidi="ar-SA"/>
    </w:rPr>
  </w:style>
  <w:style w:type="paragraph" w:customStyle="1" w:styleId="55">
    <w:name w:val="null67"/>
    <w:qFormat/>
    <w:uiPriority w:val="0"/>
    <w:rPr>
      <w:rFonts w:ascii="Times New Roman" w:hAnsi="Times New Roman" w:eastAsia="宋体" w:cs="Times New Roman"/>
      <w:szCs w:val="21"/>
      <w:lang w:val="en-US" w:eastAsia="zh-CN" w:bidi="ar-SA"/>
    </w:rPr>
  </w:style>
  <w:style w:type="paragraph" w:customStyle="1" w:styleId="56">
    <w:name w:val="null68"/>
    <w:qFormat/>
    <w:uiPriority w:val="0"/>
    <w:rPr>
      <w:rFonts w:ascii="Times New Roman" w:hAnsi="Times New Roman" w:eastAsia="宋体" w:cs="Times New Roman"/>
      <w:szCs w:val="21"/>
      <w:lang w:val="en-US" w:eastAsia="zh-CN" w:bidi="ar-SA"/>
    </w:rPr>
  </w:style>
  <w:style w:type="paragraph" w:customStyle="1" w:styleId="57">
    <w:name w:val="null69"/>
    <w:qFormat/>
    <w:uiPriority w:val="0"/>
    <w:rPr>
      <w:rFonts w:ascii="Times New Roman" w:hAnsi="Times New Roman" w:eastAsia="宋体" w:cs="Times New Roman"/>
      <w:szCs w:val="21"/>
      <w:lang w:val="en-US" w:eastAsia="zh-CN" w:bidi="ar-SA"/>
    </w:rPr>
  </w:style>
  <w:style w:type="paragraph" w:customStyle="1" w:styleId="58">
    <w:name w:val="null70"/>
    <w:qFormat/>
    <w:uiPriority w:val="0"/>
    <w:rPr>
      <w:rFonts w:ascii="Times New Roman" w:hAnsi="Times New Roman" w:eastAsia="宋体" w:cs="Times New Roman"/>
      <w:szCs w:val="21"/>
      <w:lang w:val="en-US" w:eastAsia="zh-CN" w:bidi="ar-SA"/>
    </w:rPr>
  </w:style>
  <w:style w:type="paragraph" w:customStyle="1" w:styleId="59">
    <w:name w:val="null71"/>
    <w:qFormat/>
    <w:uiPriority w:val="0"/>
    <w:rPr>
      <w:rFonts w:ascii="Times New Roman" w:hAnsi="Times New Roman" w:eastAsia="宋体" w:cs="Times New Roman"/>
      <w:szCs w:val="21"/>
      <w:lang w:val="en-US" w:eastAsia="zh-CN" w:bidi="ar-SA"/>
    </w:rPr>
  </w:style>
  <w:style w:type="paragraph" w:customStyle="1" w:styleId="60">
    <w:name w:val="null72"/>
    <w:qFormat/>
    <w:uiPriority w:val="0"/>
    <w:rPr>
      <w:rFonts w:ascii="Times New Roman" w:hAnsi="Times New Roman" w:eastAsia="宋体" w:cs="Times New Roman"/>
      <w:szCs w:val="21"/>
      <w:lang w:val="en-US" w:eastAsia="zh-CN" w:bidi="ar-SA"/>
    </w:rPr>
  </w:style>
  <w:style w:type="paragraph" w:customStyle="1" w:styleId="61">
    <w:name w:val="null76"/>
    <w:qFormat/>
    <w:uiPriority w:val="0"/>
    <w:rPr>
      <w:rFonts w:ascii="Times New Roman" w:hAnsi="Times New Roman" w:eastAsia="宋体" w:cs="Times New Roman"/>
      <w:szCs w:val="21"/>
      <w:lang w:val="en-US" w:eastAsia="zh-CN" w:bidi="ar-SA"/>
    </w:rPr>
  </w:style>
  <w:style w:type="paragraph" w:customStyle="1" w:styleId="62">
    <w:name w:val="null77"/>
    <w:qFormat/>
    <w:uiPriority w:val="0"/>
    <w:rPr>
      <w:rFonts w:ascii="Times New Roman" w:hAnsi="Times New Roman" w:eastAsia="宋体" w:cs="Times New Roman"/>
      <w:szCs w:val="21"/>
      <w:lang w:val="en-US" w:eastAsia="zh-CN" w:bidi="ar-SA"/>
    </w:rPr>
  </w:style>
  <w:style w:type="paragraph" w:customStyle="1" w:styleId="63">
    <w:name w:val="null78"/>
    <w:qFormat/>
    <w:uiPriority w:val="0"/>
    <w:rPr>
      <w:rFonts w:ascii="Times New Roman" w:hAnsi="Times New Roman" w:eastAsia="宋体" w:cs="Times New Roman"/>
      <w:szCs w:val="21"/>
      <w:lang w:val="en-US" w:eastAsia="zh-CN" w:bidi="ar-SA"/>
    </w:rPr>
  </w:style>
  <w:style w:type="paragraph" w:customStyle="1" w:styleId="64">
    <w:name w:val="null82"/>
    <w:qFormat/>
    <w:uiPriority w:val="0"/>
    <w:rPr>
      <w:rFonts w:ascii="Times New Roman" w:hAnsi="Times New Roman" w:eastAsia="宋体" w:cs="Times New Roman"/>
      <w:szCs w:val="21"/>
      <w:lang w:val="en-US" w:eastAsia="zh-CN" w:bidi="ar-SA"/>
    </w:rPr>
  </w:style>
  <w:style w:type="paragraph" w:customStyle="1" w:styleId="65">
    <w:name w:val="null83"/>
    <w:qFormat/>
    <w:uiPriority w:val="0"/>
    <w:rPr>
      <w:rFonts w:ascii="Times New Roman" w:hAnsi="Times New Roman" w:eastAsia="宋体" w:cs="Times New Roman"/>
      <w:szCs w:val="21"/>
      <w:lang w:val="en-US" w:eastAsia="zh-CN" w:bidi="ar-SA"/>
    </w:rPr>
  </w:style>
  <w:style w:type="paragraph" w:customStyle="1" w:styleId="66">
    <w:name w:val="null84"/>
    <w:qFormat/>
    <w:uiPriority w:val="0"/>
    <w:rPr>
      <w:rFonts w:ascii="Times New Roman" w:hAnsi="Times New Roman" w:eastAsia="宋体" w:cs="Times New Roman"/>
      <w:szCs w:val="21"/>
      <w:lang w:val="en-US" w:eastAsia="zh-CN" w:bidi="ar-SA"/>
    </w:rPr>
  </w:style>
  <w:style w:type="paragraph" w:customStyle="1" w:styleId="67">
    <w:name w:val="null85"/>
    <w:qFormat/>
    <w:uiPriority w:val="0"/>
    <w:rPr>
      <w:rFonts w:ascii="Times New Roman" w:hAnsi="Times New Roman" w:eastAsia="宋体" w:cs="Times New Roman"/>
      <w:szCs w:val="21"/>
      <w:lang w:val="en-US" w:eastAsia="zh-CN" w:bidi="ar-SA"/>
    </w:rPr>
  </w:style>
  <w:style w:type="paragraph" w:customStyle="1" w:styleId="68">
    <w:name w:val="null86"/>
    <w:qFormat/>
    <w:uiPriority w:val="0"/>
    <w:rPr>
      <w:rFonts w:ascii="Times New Roman" w:hAnsi="Times New Roman" w:eastAsia="宋体" w:cs="Times New Roman"/>
      <w:szCs w:val="21"/>
      <w:lang w:val="en-US" w:eastAsia="zh-CN" w:bidi="ar-SA"/>
    </w:rPr>
  </w:style>
  <w:style w:type="paragraph" w:customStyle="1" w:styleId="69">
    <w:name w:val="null87"/>
    <w:qFormat/>
    <w:uiPriority w:val="0"/>
    <w:rPr>
      <w:rFonts w:ascii="Times New Roman" w:hAnsi="Times New Roman" w:eastAsia="宋体" w:cs="Times New Roman"/>
      <w:szCs w:val="21"/>
      <w:lang w:val="en-US" w:eastAsia="zh-CN" w:bidi="ar-SA"/>
    </w:rPr>
  </w:style>
  <w:style w:type="paragraph" w:customStyle="1" w:styleId="70">
    <w:name w:val="首行缩进"/>
    <w:basedOn w:val="1"/>
    <w:qFormat/>
    <w:uiPriority w:val="0"/>
    <w:pPr>
      <w:spacing w:line="360" w:lineRule="auto"/>
      <w:ind w:firstLine="480" w:firstLineChars="200"/>
    </w:pPr>
    <w:rPr>
      <w:rFonts w:ascii="宋体" w:hAnsi="宋体" w:cs="宋体"/>
      <w:kern w:val="0"/>
      <w:sz w:val="24"/>
    </w:rPr>
  </w:style>
  <w:style w:type="character" w:customStyle="1" w:styleId="71">
    <w:name w:val="font51"/>
    <w:basedOn w:val="16"/>
    <w:qFormat/>
    <w:uiPriority w:val="0"/>
    <w:rPr>
      <w:rFonts w:hint="eastAsia" w:ascii="等线" w:hAnsi="等线" w:eastAsia="等线" w:cs="等线"/>
      <w:color w:val="000000"/>
      <w:sz w:val="22"/>
      <w:szCs w:val="22"/>
      <w:u w:val="none"/>
    </w:rPr>
  </w:style>
  <w:style w:type="character" w:customStyle="1" w:styleId="72">
    <w:name w:val="font31"/>
    <w:basedOn w:val="16"/>
    <w:qFormat/>
    <w:uiPriority w:val="0"/>
    <w:rPr>
      <w:rFonts w:hint="eastAsia" w:ascii="宋体" w:hAnsi="宋体" w:eastAsia="宋体" w:cs="宋体"/>
      <w:color w:val="000000"/>
      <w:sz w:val="22"/>
      <w:szCs w:val="22"/>
      <w:u w:val="none"/>
    </w:rPr>
  </w:style>
  <w:style w:type="character" w:customStyle="1" w:styleId="73">
    <w:name w:val="font61"/>
    <w:basedOn w:val="16"/>
    <w:qFormat/>
    <w:uiPriority w:val="0"/>
    <w:rPr>
      <w:rFonts w:hint="eastAsia" w:ascii="等线" w:hAnsi="等线" w:eastAsia="等线" w:cs="等线"/>
      <w:color w:val="000000"/>
      <w:sz w:val="22"/>
      <w:szCs w:val="22"/>
      <w:u w:val="none"/>
    </w:rPr>
  </w:style>
  <w:style w:type="character" w:customStyle="1" w:styleId="74">
    <w:name w:val="font41"/>
    <w:basedOn w:val="16"/>
    <w:qFormat/>
    <w:uiPriority w:val="0"/>
    <w:rPr>
      <w:rFonts w:hint="eastAsia" w:ascii="宋体" w:hAnsi="宋体" w:eastAsia="宋体" w:cs="宋体"/>
      <w:color w:val="000000"/>
      <w:sz w:val="22"/>
      <w:szCs w:val="22"/>
      <w:u w:val="none"/>
    </w:rPr>
  </w:style>
  <w:style w:type="character" w:customStyle="1" w:styleId="75">
    <w:name w:val="font21"/>
    <w:basedOn w:val="16"/>
    <w:uiPriority w:val="0"/>
    <w:rPr>
      <w:rFonts w:ascii="Arial" w:hAnsi="Arial" w:cs="Arial"/>
      <w:color w:val="000000"/>
      <w:sz w:val="28"/>
      <w:szCs w:val="28"/>
      <w:u w:val="none"/>
    </w:rPr>
  </w:style>
  <w:style w:type="character" w:customStyle="1" w:styleId="76">
    <w:name w:val="font11"/>
    <w:basedOn w:val="16"/>
    <w:uiPriority w:val="0"/>
    <w:rPr>
      <w:rFonts w:hint="eastAsia" w:ascii="宋体" w:hAnsi="宋体" w:eastAsia="宋体" w:cs="宋体"/>
      <w:color w:val="000000"/>
      <w:sz w:val="28"/>
      <w:szCs w:val="28"/>
      <w:u w:val="none"/>
    </w:rPr>
  </w:style>
  <w:style w:type="paragraph" w:customStyle="1" w:styleId="77">
    <w:name w:val="（二）级标题"/>
    <w:basedOn w:val="7"/>
    <w:qFormat/>
    <w:uiPriority w:val="2"/>
    <w:pPr>
      <w:numPr>
        <w:ilvl w:val="0"/>
        <w:numId w:val="2"/>
      </w:numPr>
      <w:spacing w:line="360" w:lineRule="auto"/>
      <w:outlineLvl w:val="2"/>
    </w:pPr>
    <w:rPr>
      <w:b/>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theme" Target="theme/theme1.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15807</Words>
  <Characters>16573</Characters>
  <Lines>0</Lines>
  <Paragraphs>0</Paragraphs>
  <TotalTime>76</TotalTime>
  <ScaleCrop>false</ScaleCrop>
  <LinksUpToDate>false</LinksUpToDate>
  <CharactersWithSpaces>17862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2023-07-13T06:53:00Z</dcterms:created>
  <dc:creator>求知无坦途～</dc:creator>
  <cp:lastModifiedBy>燕子</cp:lastModifiedBy>
  <dcterms:modified xsi:type="dcterms:W3CDTF">2026-09-17T06:19:48Z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FB00008AF9734EEFAAAAF752AA3E152D_13</vt:lpwstr>
  </property>
  <property fmtid="{D5CDD505-2E9C-101B-9397-08002B2CF9AE}" pid="4" name="KSOTemplateDocerSaveRecord">
    <vt:lpwstr>eyJoZGlkIjoiM2ExZWM3NDE5NWI5NDBjZDYwMmE0Y2I0NDJiYjRjYjQiLCJ1c2VySWQiOiIzOTQ1MDg5MjAifQ==</vt:lpwstr>
  </property>
</Properties>
</file>